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0C3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41686AA9" w14:textId="77777777" w:rsidTr="005F7F7E">
        <w:tc>
          <w:tcPr>
            <w:tcW w:w="2438" w:type="dxa"/>
            <w:shd w:val="clear" w:color="auto" w:fill="auto"/>
          </w:tcPr>
          <w:p w14:paraId="0651A7F9"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5A5B6F4" w14:textId="77777777" w:rsidR="00F445B1" w:rsidRPr="00F95BC9" w:rsidRDefault="008D4BE8" w:rsidP="004A6D2F">
            <w:pPr>
              <w:rPr>
                <w:rStyle w:val="Firstpagetablebold"/>
              </w:rPr>
            </w:pPr>
            <w:r>
              <w:rPr>
                <w:rStyle w:val="Firstpagetablebold"/>
              </w:rPr>
              <w:t>Council</w:t>
            </w:r>
          </w:p>
        </w:tc>
      </w:tr>
      <w:tr w:rsidR="00CE544A" w:rsidRPr="00975B07" w14:paraId="68944D4D" w14:textId="77777777" w:rsidTr="005F7F7E">
        <w:tc>
          <w:tcPr>
            <w:tcW w:w="2438" w:type="dxa"/>
            <w:shd w:val="clear" w:color="auto" w:fill="auto"/>
          </w:tcPr>
          <w:p w14:paraId="5DD09BD3"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26F6E3F7" w14:textId="7390719F" w:rsidR="00F445B1" w:rsidRPr="001356F1" w:rsidRDefault="007F2E43" w:rsidP="005D0621">
            <w:pPr>
              <w:rPr>
                <w:b/>
              </w:rPr>
            </w:pPr>
            <w:r>
              <w:rPr>
                <w:b/>
              </w:rPr>
              <w:t>6 October 2025</w:t>
            </w:r>
          </w:p>
        </w:tc>
      </w:tr>
      <w:tr w:rsidR="00CE544A" w:rsidRPr="00975B07" w14:paraId="0F908EC9" w14:textId="77777777" w:rsidTr="005F7F7E">
        <w:tc>
          <w:tcPr>
            <w:tcW w:w="2438" w:type="dxa"/>
            <w:shd w:val="clear" w:color="auto" w:fill="auto"/>
          </w:tcPr>
          <w:p w14:paraId="1C666342"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1EFA9E1D" w14:textId="059F5B95" w:rsidR="00F445B1" w:rsidRPr="001356F1" w:rsidRDefault="007F2E43" w:rsidP="00B304C9">
            <w:pPr>
              <w:rPr>
                <w:rStyle w:val="Firstpagetablebold"/>
              </w:rPr>
            </w:pPr>
            <w:r w:rsidRPr="007F2E43">
              <w:rPr>
                <w:rStyle w:val="Firstpagetablebold"/>
              </w:rPr>
              <w:t>Community Safety Service Manager</w:t>
            </w:r>
          </w:p>
        </w:tc>
      </w:tr>
      <w:tr w:rsidR="00CE544A" w:rsidRPr="00975B07" w14:paraId="0C031B86" w14:textId="77777777" w:rsidTr="005F7F7E">
        <w:tc>
          <w:tcPr>
            <w:tcW w:w="2438" w:type="dxa"/>
            <w:shd w:val="clear" w:color="auto" w:fill="auto"/>
          </w:tcPr>
          <w:p w14:paraId="37C27D1A"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3B461E3F" w14:textId="594A21C3" w:rsidR="00F445B1" w:rsidRPr="001356F1" w:rsidRDefault="00A200B9" w:rsidP="00B304C9">
            <w:pPr>
              <w:rPr>
                <w:rStyle w:val="Firstpagetablebold"/>
              </w:rPr>
            </w:pPr>
            <w:r>
              <w:rPr>
                <w:rStyle w:val="Firstpagetablebold"/>
              </w:rPr>
              <w:t xml:space="preserve">Oxford Safer Communities Partnership </w:t>
            </w:r>
            <w:r w:rsidR="00ED16B1" w:rsidRPr="009138DD">
              <w:rPr>
                <w:rStyle w:val="Firstpagetablebold"/>
              </w:rPr>
              <w:t>(OSCP)</w:t>
            </w:r>
            <w:r w:rsidR="00ED16B1">
              <w:rPr>
                <w:rStyle w:val="Firstpagetablebold"/>
              </w:rPr>
              <w:t xml:space="preserve"> </w:t>
            </w:r>
            <w:r w:rsidR="00AF08D4">
              <w:rPr>
                <w:rStyle w:val="Firstpagetablebold"/>
              </w:rPr>
              <w:t xml:space="preserve">Annual </w:t>
            </w:r>
            <w:r>
              <w:rPr>
                <w:rStyle w:val="Firstpagetablebold"/>
              </w:rPr>
              <w:t>Update</w:t>
            </w:r>
            <w:r w:rsidR="00AF08D4">
              <w:rPr>
                <w:rStyle w:val="Firstpagetablebold"/>
              </w:rPr>
              <w:t xml:space="preserve"> </w:t>
            </w:r>
            <w:r w:rsidR="002E5014">
              <w:rPr>
                <w:rStyle w:val="Firstpagetablebold"/>
              </w:rPr>
              <w:t>2025-26</w:t>
            </w:r>
          </w:p>
        </w:tc>
      </w:tr>
    </w:tbl>
    <w:p w14:paraId="6E43A5D7"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4C3FD600" w14:textId="77777777" w:rsidTr="0080749A">
        <w:tc>
          <w:tcPr>
            <w:tcW w:w="8845" w:type="dxa"/>
            <w:gridSpan w:val="2"/>
            <w:tcBorders>
              <w:bottom w:val="single" w:sz="8" w:space="0" w:color="000000"/>
            </w:tcBorders>
            <w:hideMark/>
          </w:tcPr>
          <w:p w14:paraId="343E11DB"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6F041F1A" w14:textId="77777777" w:rsidTr="0080749A">
        <w:tc>
          <w:tcPr>
            <w:tcW w:w="2438" w:type="dxa"/>
            <w:tcBorders>
              <w:top w:val="single" w:sz="8" w:space="0" w:color="000000"/>
              <w:left w:val="single" w:sz="8" w:space="0" w:color="000000"/>
              <w:bottom w:val="nil"/>
              <w:right w:val="nil"/>
            </w:tcBorders>
            <w:hideMark/>
          </w:tcPr>
          <w:p w14:paraId="480196DD" w14:textId="77777777" w:rsidR="00D5547E" w:rsidRDefault="00D5547E">
            <w:pPr>
              <w:rPr>
                <w:rStyle w:val="Firstpagetablebold"/>
              </w:rPr>
            </w:pPr>
            <w:r>
              <w:rPr>
                <w:rStyle w:val="Firstpagetablebold"/>
              </w:rPr>
              <w:t>Purpose of report:</w:t>
            </w:r>
          </w:p>
        </w:tc>
        <w:tc>
          <w:tcPr>
            <w:tcW w:w="6407" w:type="dxa"/>
            <w:tcBorders>
              <w:top w:val="single" w:sz="8" w:space="0" w:color="000000"/>
              <w:left w:val="nil"/>
              <w:bottom w:val="nil"/>
              <w:right w:val="single" w:sz="8" w:space="0" w:color="000000"/>
            </w:tcBorders>
            <w:hideMark/>
          </w:tcPr>
          <w:p w14:paraId="00058676" w14:textId="5B55A9FE" w:rsidR="00D5547E" w:rsidRPr="001356F1" w:rsidRDefault="00AF08D4" w:rsidP="00B304C9">
            <w:r>
              <w:t xml:space="preserve">Provide a summary of OSCP’s achievements in </w:t>
            </w:r>
            <w:r w:rsidR="002E5014">
              <w:t>2024-25</w:t>
            </w:r>
          </w:p>
        </w:tc>
      </w:tr>
      <w:tr w:rsidR="00D5547E" w14:paraId="525BCD56" w14:textId="77777777" w:rsidTr="0080749A">
        <w:tc>
          <w:tcPr>
            <w:tcW w:w="2438" w:type="dxa"/>
            <w:tcBorders>
              <w:top w:val="nil"/>
              <w:left w:val="single" w:sz="8" w:space="0" w:color="000000"/>
              <w:bottom w:val="nil"/>
              <w:right w:val="nil"/>
            </w:tcBorders>
            <w:hideMark/>
          </w:tcPr>
          <w:p w14:paraId="0C2A182B" w14:textId="77777777" w:rsidR="00D5547E" w:rsidRDefault="00D5547E">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45EDE44A" w14:textId="77777777" w:rsidR="00D5547E" w:rsidRPr="001356F1" w:rsidRDefault="00905DC7" w:rsidP="005F7F7E">
            <w:r w:rsidRPr="009138DD">
              <w:rPr>
                <w:color w:val="auto"/>
              </w:rPr>
              <w:t>No</w:t>
            </w:r>
          </w:p>
        </w:tc>
      </w:tr>
      <w:tr w:rsidR="00D5547E" w14:paraId="6F6BA287" w14:textId="77777777" w:rsidTr="0080749A">
        <w:tc>
          <w:tcPr>
            <w:tcW w:w="2438" w:type="dxa"/>
            <w:tcBorders>
              <w:top w:val="nil"/>
              <w:left w:val="single" w:sz="8" w:space="0" w:color="000000"/>
              <w:bottom w:val="nil"/>
              <w:right w:val="nil"/>
            </w:tcBorders>
            <w:hideMark/>
          </w:tcPr>
          <w:p w14:paraId="26E15002" w14:textId="7847517A" w:rsidR="00D5547E" w:rsidRDefault="00287679">
            <w:pPr>
              <w:rPr>
                <w:rStyle w:val="Firstpagetablebold"/>
              </w:rPr>
            </w:pPr>
            <w:r>
              <w:rPr>
                <w:rStyle w:val="Firstpagetablebold"/>
              </w:rPr>
              <w:t>Cabinet</w:t>
            </w:r>
            <w:r w:rsidR="00D5547E">
              <w:rPr>
                <w:rStyle w:val="Firstpagetablebold"/>
              </w:rPr>
              <w:t xml:space="preserve"> Member</w:t>
            </w:r>
            <w:r w:rsidR="00A44635">
              <w:rPr>
                <w:rStyle w:val="Firstpagetablebold"/>
              </w:rPr>
              <w:t xml:space="preserve"> with responsibility</w:t>
            </w:r>
            <w:r w:rsidR="00D5547E">
              <w:rPr>
                <w:rStyle w:val="Firstpagetablebold"/>
              </w:rPr>
              <w:t>:</w:t>
            </w:r>
          </w:p>
        </w:tc>
        <w:tc>
          <w:tcPr>
            <w:tcW w:w="6407" w:type="dxa"/>
            <w:tcBorders>
              <w:top w:val="nil"/>
              <w:left w:val="nil"/>
              <w:bottom w:val="nil"/>
              <w:right w:val="single" w:sz="8" w:space="0" w:color="000000"/>
            </w:tcBorders>
            <w:hideMark/>
          </w:tcPr>
          <w:p w14:paraId="2CC7288E" w14:textId="00675BA1" w:rsidR="00D5547E" w:rsidRPr="001356F1" w:rsidRDefault="00AF08D4" w:rsidP="00B304C9">
            <w:r w:rsidRPr="00AF08D4">
              <w:t xml:space="preserve">Cabinet </w:t>
            </w:r>
            <w:r w:rsidR="0066325F">
              <w:t>Member for</w:t>
            </w:r>
            <w:r w:rsidRPr="00AF08D4">
              <w:t xml:space="preserve"> Safer</w:t>
            </w:r>
            <w:r w:rsidR="0066325F">
              <w:t xml:space="preserve"> Communities</w:t>
            </w:r>
          </w:p>
        </w:tc>
      </w:tr>
      <w:tr w:rsidR="0080749A" w14:paraId="31149FD1" w14:textId="77777777" w:rsidTr="0080749A">
        <w:tc>
          <w:tcPr>
            <w:tcW w:w="2438" w:type="dxa"/>
            <w:tcBorders>
              <w:top w:val="nil"/>
              <w:left w:val="single" w:sz="8" w:space="0" w:color="000000"/>
              <w:bottom w:val="nil"/>
              <w:right w:val="nil"/>
            </w:tcBorders>
          </w:tcPr>
          <w:p w14:paraId="0F47182C" w14:textId="77777777" w:rsidR="0080749A" w:rsidRDefault="0080749A">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3576FEAA" w14:textId="77777777" w:rsidR="0080749A" w:rsidRPr="001356F1" w:rsidRDefault="00D47648" w:rsidP="00D47648">
            <w:r>
              <w:t>Strong and Active Communities</w:t>
            </w:r>
            <w:r w:rsidR="0080749A" w:rsidRPr="001356F1">
              <w:t>.</w:t>
            </w:r>
          </w:p>
        </w:tc>
      </w:tr>
      <w:tr w:rsidR="00D5547E" w14:paraId="3A6CC46B" w14:textId="77777777" w:rsidTr="0080749A">
        <w:tc>
          <w:tcPr>
            <w:tcW w:w="2438" w:type="dxa"/>
            <w:tcBorders>
              <w:top w:val="nil"/>
              <w:left w:val="single" w:sz="8" w:space="0" w:color="000000"/>
              <w:bottom w:val="nil"/>
              <w:right w:val="nil"/>
            </w:tcBorders>
            <w:hideMark/>
          </w:tcPr>
          <w:p w14:paraId="7F43E984" w14:textId="77777777" w:rsidR="00D5547E" w:rsidRDefault="00D5547E">
            <w:pPr>
              <w:rPr>
                <w:rStyle w:val="Firstpagetablebold"/>
              </w:rPr>
            </w:pPr>
            <w:r>
              <w:rPr>
                <w:rStyle w:val="Firstpagetablebold"/>
              </w:rPr>
              <w:t>Policy Framework:</w:t>
            </w:r>
          </w:p>
        </w:tc>
        <w:tc>
          <w:tcPr>
            <w:tcW w:w="6407" w:type="dxa"/>
            <w:tcBorders>
              <w:top w:val="nil"/>
              <w:left w:val="nil"/>
              <w:bottom w:val="nil"/>
              <w:right w:val="single" w:sz="8" w:space="0" w:color="000000"/>
            </w:tcBorders>
            <w:hideMark/>
          </w:tcPr>
          <w:p w14:paraId="6B626FED" w14:textId="77777777" w:rsidR="00D5547E" w:rsidRPr="001356F1" w:rsidRDefault="00D5547E" w:rsidP="005F7F7E"/>
        </w:tc>
      </w:tr>
      <w:tr w:rsidR="005F7F7E" w:rsidRPr="00975B07" w14:paraId="266314C2" w14:textId="77777777" w:rsidTr="00A46E98">
        <w:trPr>
          <w:trHeight w:val="413"/>
        </w:trPr>
        <w:tc>
          <w:tcPr>
            <w:tcW w:w="8845" w:type="dxa"/>
            <w:gridSpan w:val="2"/>
            <w:tcBorders>
              <w:bottom w:val="single" w:sz="8" w:space="0" w:color="000000"/>
            </w:tcBorders>
          </w:tcPr>
          <w:p w14:paraId="79B8174E" w14:textId="77777777" w:rsidR="005F7F7E" w:rsidRPr="00975B07" w:rsidRDefault="005F7F7E" w:rsidP="008D4BE8">
            <w:r>
              <w:rPr>
                <w:rStyle w:val="Firstpagetablebold"/>
              </w:rPr>
              <w:t>Recommendation(s):</w:t>
            </w:r>
            <w:r w:rsidR="00D47648">
              <w:rPr>
                <w:rStyle w:val="Firstpagetablebold"/>
              </w:rPr>
              <w:t xml:space="preserve"> </w:t>
            </w:r>
            <w:r w:rsidR="008D4BE8">
              <w:rPr>
                <w:rStyle w:val="Firstpagetablebold"/>
              </w:rPr>
              <w:t>Note the report</w:t>
            </w:r>
          </w:p>
        </w:tc>
      </w:tr>
    </w:tbl>
    <w:p w14:paraId="42200F0C" w14:textId="77777777" w:rsidR="00CE544A" w:rsidRPr="009E51FC" w:rsidRDefault="00CE544A"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966D42" w:rsidRPr="00975B07" w14:paraId="6415A204" w14:textId="77777777" w:rsidTr="00A46E98">
        <w:tc>
          <w:tcPr>
            <w:tcW w:w="8844" w:type="dxa"/>
            <w:tcBorders>
              <w:top w:val="single" w:sz="8" w:space="0" w:color="000000"/>
              <w:left w:val="single" w:sz="8" w:space="0" w:color="000000"/>
              <w:bottom w:val="single" w:sz="8" w:space="0" w:color="000000"/>
              <w:right w:val="single" w:sz="8" w:space="0" w:color="000000"/>
            </w:tcBorders>
            <w:shd w:val="clear" w:color="auto" w:fill="auto"/>
          </w:tcPr>
          <w:p w14:paraId="62EE1E84" w14:textId="2F35DE36" w:rsidR="00966D42" w:rsidRPr="00975B07" w:rsidRDefault="00966D42" w:rsidP="003A087D">
            <w:r w:rsidRPr="00745BF0">
              <w:rPr>
                <w:rStyle w:val="Firstpagetablebold"/>
              </w:rPr>
              <w:t>Appendices</w:t>
            </w:r>
            <w:r w:rsidR="00D47648">
              <w:rPr>
                <w:rStyle w:val="Firstpagetablebold"/>
              </w:rPr>
              <w:t xml:space="preserve">: </w:t>
            </w:r>
            <w:r w:rsidR="004F437B">
              <w:rPr>
                <w:rStyle w:val="Firstpagetablebold"/>
              </w:rPr>
              <w:t>No</w:t>
            </w:r>
            <w:r w:rsidR="00287679">
              <w:rPr>
                <w:rStyle w:val="Firstpagetablebold"/>
              </w:rPr>
              <w:t>ne</w:t>
            </w:r>
          </w:p>
        </w:tc>
      </w:tr>
    </w:tbl>
    <w:p w14:paraId="2CF55B28" w14:textId="77777777" w:rsidR="0040736F" w:rsidRPr="001356F1" w:rsidRDefault="00F66DCA" w:rsidP="004A6D2F">
      <w:pPr>
        <w:pStyle w:val="Heading1"/>
      </w:pPr>
      <w:r w:rsidRPr="001356F1">
        <w:t>Introduction and b</w:t>
      </w:r>
      <w:r w:rsidR="00151888" w:rsidRPr="001356F1">
        <w:t>ackground</w:t>
      </w:r>
      <w:r w:rsidR="00404032" w:rsidRPr="001356F1">
        <w:t xml:space="preserve"> </w:t>
      </w:r>
    </w:p>
    <w:p w14:paraId="5BB6CFFE" w14:textId="6E49B46D" w:rsidR="00C837E7" w:rsidRDefault="00C837E7" w:rsidP="00C837E7">
      <w:pPr>
        <w:pStyle w:val="ColorfulList-Accent11"/>
        <w:numPr>
          <w:ilvl w:val="0"/>
          <w:numId w:val="9"/>
        </w:numPr>
        <w:tabs>
          <w:tab w:val="clear" w:pos="426"/>
        </w:tabs>
      </w:pPr>
      <w:r w:rsidRPr="00C837E7">
        <w:t xml:space="preserve">Oxford Safer Communities Partnership (OSCP) is </w:t>
      </w:r>
      <w:r w:rsidR="00BB6AEC">
        <w:t>Oxford’s statutory partnership to address local community safety priorities in the city.</w:t>
      </w:r>
      <w:r w:rsidRPr="00C837E7">
        <w:t xml:space="preserve"> It </w:t>
      </w:r>
      <w:r w:rsidR="00BB6AEC">
        <w:t>is responsible for plans to</w:t>
      </w:r>
      <w:r w:rsidRPr="00C837E7">
        <w:t xml:space="preserve"> reduc</w:t>
      </w:r>
      <w:r w:rsidR="00BB6AEC">
        <w:t>e</w:t>
      </w:r>
      <w:r w:rsidRPr="00C837E7">
        <w:t xml:space="preserve"> the fear of crime, minimis</w:t>
      </w:r>
      <w:r w:rsidR="00BB6AEC">
        <w:t>e</w:t>
      </w:r>
      <w:r w:rsidRPr="00C837E7">
        <w:t xml:space="preserve"> the likelihood of becoming a victim of crime and address community safety concerns to improve the lives of our residents, businesses and visitors</w:t>
      </w:r>
      <w:r w:rsidR="00BB6AEC">
        <w:t>.</w:t>
      </w:r>
    </w:p>
    <w:p w14:paraId="0F562189" w14:textId="6E4F9DE8" w:rsidR="00A200B9" w:rsidRDefault="00F74116" w:rsidP="001E2997">
      <w:pPr>
        <w:pStyle w:val="ColorfulList-Accent11"/>
        <w:numPr>
          <w:ilvl w:val="0"/>
          <w:numId w:val="9"/>
        </w:numPr>
        <w:tabs>
          <w:tab w:val="clear" w:pos="426"/>
        </w:tabs>
      </w:pPr>
      <w:r>
        <w:t xml:space="preserve">OSCP has an Executive Group that brings organisations together to work in partnership to prevent and reduce crime and anti-social behaviour.  </w:t>
      </w:r>
      <w:r w:rsidR="001E2997" w:rsidRPr="001E2997">
        <w:t xml:space="preserve">Oxford City </w:t>
      </w:r>
      <w:r w:rsidR="00BB6AEC">
        <w:t>Council</w:t>
      </w:r>
      <w:r w:rsidR="001E2997" w:rsidRPr="001E2997">
        <w:t xml:space="preserve"> chair</w:t>
      </w:r>
      <w:r w:rsidR="00BB6AEC">
        <w:t xml:space="preserve"> and facilitate </w:t>
      </w:r>
      <w:r w:rsidR="001E2997" w:rsidRPr="001E2997">
        <w:t>the partnership</w:t>
      </w:r>
      <w:r w:rsidR="00BB6AEC">
        <w:t xml:space="preserve"> which</w:t>
      </w:r>
      <w:r w:rsidR="00312A14">
        <w:t xml:space="preserve"> meets on a quarterly basis to </w:t>
      </w:r>
      <w:r w:rsidR="001E2997">
        <w:t xml:space="preserve">review </w:t>
      </w:r>
      <w:r w:rsidR="00BB6AEC">
        <w:t>the priority plans and identify emerging risks within the city.</w:t>
      </w:r>
    </w:p>
    <w:p w14:paraId="5915FCC3" w14:textId="77777777" w:rsidR="00F74116" w:rsidRPr="00F74116" w:rsidRDefault="001E2997" w:rsidP="00F74116">
      <w:pPr>
        <w:pStyle w:val="ColorfulList-Accent11"/>
        <w:numPr>
          <w:ilvl w:val="0"/>
          <w:numId w:val="9"/>
        </w:numPr>
        <w:tabs>
          <w:tab w:val="clear" w:pos="426"/>
        </w:tabs>
        <w:rPr>
          <w:b/>
          <w:color w:val="221F1F"/>
          <w:spacing w:val="-3"/>
        </w:rPr>
      </w:pPr>
      <w:r>
        <w:t xml:space="preserve">OSCP </w:t>
      </w:r>
      <w:r w:rsidR="00B43D01">
        <w:t>Partnership</w:t>
      </w:r>
      <w:r>
        <w:t xml:space="preserve"> </w:t>
      </w:r>
      <w:r w:rsidR="00F74116">
        <w:t xml:space="preserve">Executive Group comprises of responsible authorities, as defined by the Crime and Disorder Act 1998, and other local partners, including Oxford University Hospitals, Oxford Brookes University, the University of Oxford, Turning Point, and the Office of the Police and Crime Commissioner.  </w:t>
      </w:r>
    </w:p>
    <w:p w14:paraId="268E1249" w14:textId="6D7C2FD6" w:rsidR="00F74116" w:rsidRPr="00F74116" w:rsidRDefault="00F74116" w:rsidP="00F74116">
      <w:pPr>
        <w:pStyle w:val="ColorfulList-Accent11"/>
        <w:numPr>
          <w:ilvl w:val="0"/>
          <w:numId w:val="9"/>
        </w:numPr>
        <w:tabs>
          <w:tab w:val="clear" w:pos="426"/>
        </w:tabs>
        <w:rPr>
          <w:bCs/>
          <w:color w:val="221F1F"/>
          <w:spacing w:val="-3"/>
        </w:rPr>
      </w:pPr>
      <w:r w:rsidRPr="00F74116">
        <w:rPr>
          <w:bCs/>
          <w:color w:val="221F1F"/>
          <w:spacing w:val="-3"/>
        </w:rPr>
        <w:t xml:space="preserve">The Police and Crime Commissioner </w:t>
      </w:r>
      <w:r>
        <w:rPr>
          <w:bCs/>
          <w:color w:val="221F1F"/>
          <w:spacing w:val="-3"/>
        </w:rPr>
        <w:t>provides some of the funding to address the priorities for the year, including modern slavery, serious violence and domestic abuse</w:t>
      </w:r>
      <w:r w:rsidR="00D07622">
        <w:rPr>
          <w:bCs/>
          <w:color w:val="221F1F"/>
          <w:spacing w:val="-3"/>
        </w:rPr>
        <w:t>.  OSCP’s priorities compliment the priorities of the PCC’s crime plan, as set out in the Police and Crime Plan 2024-29.</w:t>
      </w:r>
    </w:p>
    <w:p w14:paraId="11126B55" w14:textId="77777777" w:rsidR="00D07622" w:rsidRPr="00D07622" w:rsidRDefault="00D07622" w:rsidP="009B40DF">
      <w:pPr>
        <w:pStyle w:val="ColorfulList-Accent11"/>
        <w:numPr>
          <w:ilvl w:val="0"/>
          <w:numId w:val="9"/>
        </w:numPr>
        <w:tabs>
          <w:tab w:val="clear" w:pos="426"/>
        </w:tabs>
        <w:rPr>
          <w:color w:val="221F1F"/>
          <w:spacing w:val="-3"/>
        </w:rPr>
      </w:pPr>
      <w:r>
        <w:lastRenderedPageBreak/>
        <w:t>The annual Joint Strategic Needs Assessment</w:t>
      </w:r>
      <w:r w:rsidR="00F74116">
        <w:t>, produced by Safer Oxfordshire Partnership</w:t>
      </w:r>
      <w:r>
        <w:t xml:space="preserve"> provides the crime data to assist in identifying those priorities.  </w:t>
      </w:r>
    </w:p>
    <w:p w14:paraId="3AC67F87" w14:textId="77777777" w:rsidR="00D07622" w:rsidRPr="00D07622" w:rsidRDefault="00D07622" w:rsidP="00D07622">
      <w:pPr>
        <w:pStyle w:val="ColorfulList-Accent11"/>
        <w:numPr>
          <w:ilvl w:val="0"/>
          <w:numId w:val="9"/>
        </w:numPr>
        <w:rPr>
          <w:rFonts w:cs="Arial"/>
          <w:color w:val="221F1F"/>
          <w:spacing w:val="-3"/>
        </w:rPr>
      </w:pPr>
      <w:r w:rsidRPr="00D07622">
        <w:rPr>
          <w:rFonts w:cs="Arial"/>
          <w:color w:val="221F1F"/>
          <w:spacing w:val="-3"/>
        </w:rPr>
        <w:t>To view the full Joint Strategic Needs Assessment or TVP’s Police &amp; Crime Commissioner’s Police and Crime Plan, please click on the hyperlinks below.</w:t>
      </w:r>
    </w:p>
    <w:p w14:paraId="6C173F73" w14:textId="53D33289" w:rsidR="00D07622" w:rsidRDefault="00D07622" w:rsidP="00D07622">
      <w:pPr>
        <w:pStyle w:val="ColorfulList-Accent11"/>
        <w:numPr>
          <w:ilvl w:val="0"/>
          <w:numId w:val="0"/>
        </w:numPr>
        <w:ind w:left="360"/>
        <w:rPr>
          <w:rFonts w:cs="Arial"/>
          <w:color w:val="221F1F"/>
          <w:spacing w:val="-3"/>
        </w:rPr>
      </w:pPr>
      <w:hyperlink r:id="rId11" w:history="1">
        <w:r w:rsidRPr="00052B3A">
          <w:rPr>
            <w:rStyle w:val="Hyperlink"/>
            <w:rFonts w:cs="Arial"/>
            <w:spacing w:val="-3"/>
          </w:rPr>
          <w:t>https://data.oxfordshire.gov.uk/jsna/</w:t>
        </w:r>
      </w:hyperlink>
    </w:p>
    <w:p w14:paraId="3D8421BE" w14:textId="2AAFA6F3" w:rsidR="00D07622" w:rsidRDefault="00D07622" w:rsidP="00D07622">
      <w:pPr>
        <w:pStyle w:val="ColorfulList-Accent11"/>
        <w:numPr>
          <w:ilvl w:val="0"/>
          <w:numId w:val="0"/>
        </w:numPr>
        <w:tabs>
          <w:tab w:val="clear" w:pos="426"/>
        </w:tabs>
        <w:ind w:left="360"/>
        <w:rPr>
          <w:rFonts w:cs="Arial"/>
          <w:color w:val="221F1F"/>
          <w:spacing w:val="-3"/>
        </w:rPr>
      </w:pPr>
      <w:hyperlink r:id="rId12" w:history="1">
        <w:r w:rsidRPr="00052B3A">
          <w:rPr>
            <w:rStyle w:val="Hyperlink"/>
            <w:rFonts w:cs="Arial"/>
            <w:spacing w:val="-3"/>
          </w:rPr>
          <w:t>https://www.thamesvalley-pcc.gov.uk/police-and-crime-plan/</w:t>
        </w:r>
      </w:hyperlink>
    </w:p>
    <w:p w14:paraId="1CA5762B" w14:textId="77777777" w:rsidR="00D07622" w:rsidRDefault="00D07622" w:rsidP="00D07622">
      <w:pPr>
        <w:pStyle w:val="ColorfulList-Accent11"/>
        <w:numPr>
          <w:ilvl w:val="0"/>
          <w:numId w:val="0"/>
        </w:numPr>
        <w:tabs>
          <w:tab w:val="clear" w:pos="426"/>
        </w:tabs>
        <w:ind w:left="360"/>
        <w:rPr>
          <w:rFonts w:cs="Arial"/>
          <w:color w:val="221F1F"/>
          <w:spacing w:val="-3"/>
        </w:rPr>
      </w:pPr>
    </w:p>
    <w:p w14:paraId="62540CAF" w14:textId="7A4A838E" w:rsidR="00D07622" w:rsidRDefault="00D07622" w:rsidP="00D07622">
      <w:pPr>
        <w:pStyle w:val="ColorfulList-Accent11"/>
        <w:numPr>
          <w:ilvl w:val="0"/>
          <w:numId w:val="0"/>
        </w:numPr>
        <w:tabs>
          <w:tab w:val="clear" w:pos="426"/>
        </w:tabs>
        <w:rPr>
          <w:b/>
          <w:color w:val="221F1F"/>
          <w:spacing w:val="-3"/>
        </w:rPr>
      </w:pPr>
      <w:r w:rsidRPr="00ED16B1">
        <w:rPr>
          <w:b/>
          <w:color w:val="221F1F"/>
          <w:spacing w:val="-3"/>
        </w:rPr>
        <w:t xml:space="preserve">OSCP </w:t>
      </w:r>
      <w:r>
        <w:rPr>
          <w:b/>
          <w:color w:val="221F1F"/>
          <w:spacing w:val="-3"/>
        </w:rPr>
        <w:t>Priorities 2025-26</w:t>
      </w:r>
    </w:p>
    <w:p w14:paraId="5143FE6C" w14:textId="1F12F46A" w:rsidR="00D07622" w:rsidRDefault="008F3EB6" w:rsidP="00D07622">
      <w:pPr>
        <w:pStyle w:val="ColorfulList-Accent11"/>
        <w:numPr>
          <w:ilvl w:val="0"/>
          <w:numId w:val="9"/>
        </w:numPr>
        <w:tabs>
          <w:tab w:val="clear" w:pos="426"/>
        </w:tabs>
        <w:rPr>
          <w:bCs/>
          <w:color w:val="221F1F"/>
          <w:spacing w:val="-3"/>
        </w:rPr>
      </w:pPr>
      <w:r>
        <w:rPr>
          <w:bCs/>
          <w:color w:val="221F1F"/>
          <w:spacing w:val="-3"/>
        </w:rPr>
        <w:t>At an OSCP Executive Group meeting, held on 30</w:t>
      </w:r>
      <w:r w:rsidRPr="008F3EB6">
        <w:rPr>
          <w:bCs/>
          <w:color w:val="221F1F"/>
          <w:spacing w:val="-3"/>
          <w:vertAlign w:val="superscript"/>
        </w:rPr>
        <w:t>th</w:t>
      </w:r>
      <w:r>
        <w:rPr>
          <w:bCs/>
          <w:color w:val="221F1F"/>
          <w:spacing w:val="-3"/>
        </w:rPr>
        <w:t xml:space="preserve"> June 2025, the following priorities were agreed.</w:t>
      </w:r>
    </w:p>
    <w:p w14:paraId="32629E3A" w14:textId="77777777" w:rsidR="008F3EB6" w:rsidRPr="008F3EB6" w:rsidRDefault="008F3EB6" w:rsidP="008F3EB6">
      <w:pPr>
        <w:spacing w:before="120"/>
        <w:ind w:left="360"/>
        <w:rPr>
          <w:rFonts w:cs="Arial"/>
          <w:b/>
          <w:bCs/>
        </w:rPr>
      </w:pPr>
      <w:r w:rsidRPr="008F3EB6">
        <w:rPr>
          <w:rFonts w:cs="Arial"/>
          <w:b/>
          <w:bCs/>
        </w:rPr>
        <w:t>Anti-Social Behaviour and neighbourhood crime</w:t>
      </w:r>
    </w:p>
    <w:p w14:paraId="0C5CE453" w14:textId="77777777" w:rsidR="008F3EB6" w:rsidRPr="008F3EB6" w:rsidRDefault="008F3EB6" w:rsidP="008F3EB6">
      <w:pPr>
        <w:pStyle w:val="ListParagraph"/>
        <w:widowControl/>
        <w:numPr>
          <w:ilvl w:val="1"/>
          <w:numId w:val="9"/>
        </w:numPr>
        <w:autoSpaceDE/>
        <w:autoSpaceDN/>
        <w:spacing w:before="120" w:after="120"/>
        <w:rPr>
          <w:rFonts w:ascii="Arial" w:hAnsi="Arial" w:cs="Arial"/>
          <w:b/>
          <w:bCs/>
          <w:sz w:val="24"/>
          <w:szCs w:val="24"/>
        </w:rPr>
      </w:pPr>
      <w:r w:rsidRPr="008F3EB6">
        <w:rPr>
          <w:rFonts w:ascii="Arial" w:hAnsi="Arial" w:cs="Arial"/>
          <w:sz w:val="24"/>
          <w:szCs w:val="24"/>
        </w:rPr>
        <w:t>Develop and implement problem-solving plans for ASB hotspot areas, including undertaking crime prevention surveys with our communities.</w:t>
      </w:r>
    </w:p>
    <w:p w14:paraId="62B0020B" w14:textId="77777777" w:rsidR="008F3EB6" w:rsidRPr="008F3EB6" w:rsidRDefault="008F3EB6" w:rsidP="008F3EB6">
      <w:pPr>
        <w:pStyle w:val="ListParagraph"/>
        <w:widowControl/>
        <w:numPr>
          <w:ilvl w:val="1"/>
          <w:numId w:val="9"/>
        </w:numPr>
        <w:autoSpaceDE/>
        <w:autoSpaceDN/>
        <w:spacing w:before="120" w:after="120"/>
        <w:rPr>
          <w:rFonts w:ascii="Arial" w:hAnsi="Arial" w:cs="Arial"/>
          <w:b/>
          <w:bCs/>
          <w:sz w:val="24"/>
          <w:szCs w:val="24"/>
        </w:rPr>
      </w:pPr>
      <w:r w:rsidRPr="008F3EB6">
        <w:rPr>
          <w:rFonts w:ascii="Arial" w:hAnsi="Arial" w:cs="Arial"/>
          <w:sz w:val="24"/>
          <w:szCs w:val="24"/>
        </w:rPr>
        <w:t>Address environmental crime such as littering, fly-tipping and waste in gardens that can blight our neighbourhoods.</w:t>
      </w:r>
    </w:p>
    <w:p w14:paraId="154B3B30" w14:textId="77777777" w:rsidR="008F3EB6" w:rsidRPr="008F3EB6" w:rsidRDefault="008F3EB6" w:rsidP="008F3EB6">
      <w:pPr>
        <w:pStyle w:val="ListParagraph"/>
        <w:widowControl/>
        <w:numPr>
          <w:ilvl w:val="1"/>
          <w:numId w:val="9"/>
        </w:numPr>
        <w:autoSpaceDE/>
        <w:autoSpaceDN/>
        <w:spacing w:before="120" w:after="120"/>
        <w:rPr>
          <w:rFonts w:ascii="Arial" w:hAnsi="Arial" w:cs="Arial"/>
          <w:b/>
          <w:bCs/>
          <w:sz w:val="24"/>
          <w:szCs w:val="24"/>
        </w:rPr>
      </w:pPr>
      <w:r w:rsidRPr="008F3EB6">
        <w:rPr>
          <w:rFonts w:ascii="Arial" w:hAnsi="Arial" w:cs="Arial"/>
          <w:sz w:val="24"/>
          <w:szCs w:val="24"/>
        </w:rPr>
        <w:t>Continue to improve CCTV across Oxford by working in partnership with other local authorities and TVP.</w:t>
      </w:r>
    </w:p>
    <w:p w14:paraId="022A5617" w14:textId="77777777" w:rsidR="008F3EB6" w:rsidRPr="008F3EB6" w:rsidRDefault="008F3EB6" w:rsidP="008F3EB6">
      <w:pPr>
        <w:pStyle w:val="ListParagraph"/>
        <w:widowControl/>
        <w:numPr>
          <w:ilvl w:val="1"/>
          <w:numId w:val="9"/>
        </w:numPr>
        <w:autoSpaceDE/>
        <w:autoSpaceDN/>
        <w:spacing w:before="120" w:after="120"/>
        <w:rPr>
          <w:rFonts w:ascii="Arial" w:hAnsi="Arial" w:cs="Arial"/>
          <w:b/>
          <w:bCs/>
          <w:sz w:val="24"/>
          <w:szCs w:val="24"/>
        </w:rPr>
      </w:pPr>
      <w:r w:rsidRPr="008F3EB6">
        <w:rPr>
          <w:rFonts w:ascii="Arial" w:hAnsi="Arial" w:cs="Arial"/>
          <w:sz w:val="24"/>
          <w:szCs w:val="24"/>
        </w:rPr>
        <w:t xml:space="preserve">Oversee ASB Reviews that enable victims of anti-social behaviour to request a review of how agencies addressed persistent ASB complaints. </w:t>
      </w:r>
    </w:p>
    <w:p w14:paraId="2D3565EE" w14:textId="77777777" w:rsidR="008F3EB6" w:rsidRPr="008F3EB6" w:rsidRDefault="008F3EB6" w:rsidP="008F3EB6">
      <w:pPr>
        <w:pStyle w:val="ListParagraph"/>
        <w:widowControl/>
        <w:numPr>
          <w:ilvl w:val="1"/>
          <w:numId w:val="9"/>
        </w:numPr>
        <w:autoSpaceDE/>
        <w:autoSpaceDN/>
        <w:spacing w:before="120" w:after="120"/>
        <w:rPr>
          <w:rFonts w:ascii="Arial" w:hAnsi="Arial" w:cs="Arial"/>
          <w:b/>
          <w:bCs/>
          <w:sz w:val="24"/>
          <w:szCs w:val="24"/>
        </w:rPr>
      </w:pPr>
      <w:r w:rsidRPr="008F3EB6">
        <w:rPr>
          <w:rFonts w:ascii="Arial" w:hAnsi="Arial" w:cs="Arial"/>
          <w:sz w:val="24"/>
          <w:szCs w:val="24"/>
        </w:rPr>
        <w:t>Tackle retail crime by supporting TVP’s Operation Purchase, the police-led retail crime reduction initiative.</w:t>
      </w:r>
    </w:p>
    <w:p w14:paraId="7494306E" w14:textId="77777777" w:rsidR="008F3EB6" w:rsidRPr="008F3EB6" w:rsidRDefault="008F3EB6" w:rsidP="008F3EB6">
      <w:pPr>
        <w:spacing w:before="120"/>
        <w:ind w:left="360"/>
        <w:rPr>
          <w:rFonts w:cs="Arial"/>
          <w:b/>
          <w:bCs/>
        </w:rPr>
      </w:pPr>
      <w:r w:rsidRPr="008F3EB6">
        <w:rPr>
          <w:rFonts w:cs="Arial"/>
          <w:b/>
          <w:bCs/>
        </w:rPr>
        <w:t>Reduce Serious Violence</w:t>
      </w:r>
    </w:p>
    <w:p w14:paraId="7412DC0D"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Work with the Safer Oxfordshire Partnership to deliver the statutory Serious Violence Duty requirements set out in Chapter 1 of Part 2 of the Police, Crime, Sentencing and Courts Act 2022. These are:</w:t>
      </w:r>
    </w:p>
    <w:p w14:paraId="1290D4BD" w14:textId="77777777" w:rsidR="008F3EB6" w:rsidRPr="008F3EB6" w:rsidRDefault="008F3EB6" w:rsidP="008F3EB6">
      <w:pPr>
        <w:pStyle w:val="ListParagraph"/>
        <w:widowControl/>
        <w:numPr>
          <w:ilvl w:val="2"/>
          <w:numId w:val="29"/>
        </w:numPr>
        <w:autoSpaceDE/>
        <w:autoSpaceDN/>
        <w:spacing w:before="120" w:after="120"/>
        <w:rPr>
          <w:rFonts w:ascii="Arial" w:hAnsi="Arial" w:cs="Arial"/>
          <w:sz w:val="24"/>
          <w:szCs w:val="24"/>
        </w:rPr>
      </w:pPr>
      <w:r w:rsidRPr="008F3EB6">
        <w:rPr>
          <w:rFonts w:ascii="Arial" w:hAnsi="Arial" w:cs="Arial"/>
          <w:sz w:val="24"/>
          <w:szCs w:val="24"/>
        </w:rPr>
        <w:t>to work together and plan to prevent and reduce serious violence.</w:t>
      </w:r>
    </w:p>
    <w:p w14:paraId="593E0D6E" w14:textId="77777777" w:rsidR="008F3EB6" w:rsidRPr="008F3EB6" w:rsidRDefault="008F3EB6" w:rsidP="008F3EB6">
      <w:pPr>
        <w:pStyle w:val="ListParagraph"/>
        <w:widowControl/>
        <w:numPr>
          <w:ilvl w:val="2"/>
          <w:numId w:val="29"/>
        </w:numPr>
        <w:autoSpaceDE/>
        <w:autoSpaceDN/>
        <w:spacing w:before="120" w:after="120"/>
        <w:rPr>
          <w:rFonts w:ascii="Arial" w:hAnsi="Arial" w:cs="Arial"/>
          <w:sz w:val="24"/>
          <w:szCs w:val="24"/>
        </w:rPr>
      </w:pPr>
      <w:r w:rsidRPr="008F3EB6">
        <w:rPr>
          <w:rFonts w:ascii="Arial" w:hAnsi="Arial" w:cs="Arial"/>
          <w:sz w:val="24"/>
          <w:szCs w:val="24"/>
        </w:rPr>
        <w:t>identify the kinds of serious violence that occur in the area and the causes of that violence.</w:t>
      </w:r>
    </w:p>
    <w:p w14:paraId="3C962CB2" w14:textId="77777777" w:rsidR="008F3EB6" w:rsidRPr="008F3EB6" w:rsidRDefault="008F3EB6" w:rsidP="008F3EB6">
      <w:pPr>
        <w:pStyle w:val="ListParagraph"/>
        <w:widowControl/>
        <w:numPr>
          <w:ilvl w:val="2"/>
          <w:numId w:val="29"/>
        </w:numPr>
        <w:autoSpaceDE/>
        <w:autoSpaceDN/>
        <w:spacing w:before="120" w:after="120"/>
        <w:rPr>
          <w:rFonts w:ascii="Arial" w:hAnsi="Arial" w:cs="Arial"/>
          <w:sz w:val="24"/>
          <w:szCs w:val="24"/>
        </w:rPr>
      </w:pPr>
      <w:r w:rsidRPr="008F3EB6">
        <w:rPr>
          <w:rFonts w:ascii="Arial" w:hAnsi="Arial" w:cs="Arial"/>
          <w:sz w:val="24"/>
          <w:szCs w:val="24"/>
        </w:rPr>
        <w:t xml:space="preserve">prepare and implement a strategy for preventing and reducing serious violence in the area. </w:t>
      </w:r>
    </w:p>
    <w:p w14:paraId="683D8C8B"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To address drug dealing in open spaces through a problem-solving approach.</w:t>
      </w:r>
    </w:p>
    <w:p w14:paraId="1C458F35"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Support the work of the multi-agency Serious and Organised Crime group to identify and disrupt organised criminal groups.</w:t>
      </w:r>
    </w:p>
    <w:p w14:paraId="3393AE82"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 xml:space="preserve">Work with young people who are at risk of offending or socially isolated by providing diversionary activities and becoming more inclusive within our communities.   </w:t>
      </w:r>
    </w:p>
    <w:p w14:paraId="439A8B4A"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Work with partners and housing providers to identify, support and protect vulnerable people whose property has been taken over (cuckooing).</w:t>
      </w:r>
    </w:p>
    <w:p w14:paraId="1ADE7C76"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lastRenderedPageBreak/>
        <w:t xml:space="preserve">Continue the successful </w:t>
      </w:r>
      <w:proofErr w:type="spellStart"/>
      <w:r w:rsidRPr="008F3EB6">
        <w:rPr>
          <w:rFonts w:ascii="Arial" w:hAnsi="Arial" w:cs="Arial"/>
          <w:sz w:val="24"/>
          <w:szCs w:val="24"/>
        </w:rPr>
        <w:t>NightSafe</w:t>
      </w:r>
      <w:proofErr w:type="spellEnd"/>
      <w:r w:rsidRPr="008F3EB6">
        <w:rPr>
          <w:rFonts w:ascii="Arial" w:hAnsi="Arial" w:cs="Arial"/>
          <w:sz w:val="24"/>
          <w:szCs w:val="24"/>
        </w:rPr>
        <w:t xml:space="preserve"> partnership that aims to improve safety in Oxford’s nighttime economy areas.</w:t>
      </w:r>
    </w:p>
    <w:p w14:paraId="645987E4" w14:textId="77777777" w:rsidR="008F3EB6" w:rsidRPr="008F3EB6" w:rsidRDefault="008F3EB6" w:rsidP="008F3EB6">
      <w:pPr>
        <w:spacing w:before="120"/>
        <w:ind w:left="360"/>
        <w:rPr>
          <w:rFonts w:cs="Arial"/>
          <w:b/>
          <w:bCs/>
        </w:rPr>
      </w:pPr>
      <w:r w:rsidRPr="008F3EB6">
        <w:rPr>
          <w:rFonts w:cs="Arial"/>
          <w:b/>
          <w:bCs/>
        </w:rPr>
        <w:t>Violence Against Women and Girls (VAWG)</w:t>
      </w:r>
    </w:p>
    <w:p w14:paraId="59BF2B8A"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Commission Domestic Homicide Reviews and implement recommendations.</w:t>
      </w:r>
    </w:p>
    <w:p w14:paraId="15F634B0"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Support Oxford City Council to achieve Domestic Abuse Housing Accreditation (DAHA), ensuring the council maintains the accreditation for future years.</w:t>
      </w:r>
    </w:p>
    <w:p w14:paraId="214FF877"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Support the delivery of the Oxfordshire Domestic Abuse Strategy.</w:t>
      </w:r>
    </w:p>
    <w:p w14:paraId="13FBAD5F"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 xml:space="preserve">Increase the safety of women and girls in the night-time economy through our </w:t>
      </w:r>
      <w:proofErr w:type="spellStart"/>
      <w:r w:rsidRPr="008F3EB6">
        <w:rPr>
          <w:rFonts w:ascii="Arial" w:hAnsi="Arial" w:cs="Arial"/>
          <w:sz w:val="24"/>
          <w:szCs w:val="24"/>
        </w:rPr>
        <w:t>NightSafe</w:t>
      </w:r>
      <w:proofErr w:type="spellEnd"/>
      <w:r w:rsidRPr="008F3EB6">
        <w:rPr>
          <w:rFonts w:ascii="Arial" w:hAnsi="Arial" w:cs="Arial"/>
          <w:sz w:val="24"/>
          <w:szCs w:val="24"/>
        </w:rPr>
        <w:t xml:space="preserve"> programme that works with licensees, Higher Education partners, student bodies and our communities. </w:t>
      </w:r>
    </w:p>
    <w:p w14:paraId="3936DB92" w14:textId="77777777" w:rsidR="008F3EB6" w:rsidRPr="008F3EB6" w:rsidRDefault="008F3EB6" w:rsidP="008F3EB6">
      <w:pPr>
        <w:spacing w:before="120"/>
        <w:ind w:left="360"/>
        <w:rPr>
          <w:rFonts w:cs="Arial"/>
          <w:b/>
          <w:bCs/>
        </w:rPr>
      </w:pPr>
      <w:r w:rsidRPr="008F3EB6">
        <w:rPr>
          <w:rFonts w:cs="Arial"/>
          <w:b/>
          <w:bCs/>
        </w:rPr>
        <w:t>Modern Slavery and Exploitation</w:t>
      </w:r>
    </w:p>
    <w:p w14:paraId="08924383"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Develop multi-agency plans to support victims and disrupt perpetrators of modern slavery and exploitation.</w:t>
      </w:r>
    </w:p>
    <w:p w14:paraId="6E34B966"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Continue the work of the Thames Valley Anti-Slavery Network to increase awareness and cooperation in prevention, communications and disruption of activities, preventing victims becoming exploited.</w:t>
      </w:r>
    </w:p>
    <w:p w14:paraId="77B982D3" w14:textId="77777777" w:rsidR="008F3EB6" w:rsidRPr="008F3EB6" w:rsidRDefault="008F3EB6" w:rsidP="008F3EB6">
      <w:pPr>
        <w:pStyle w:val="ListParagraph"/>
        <w:widowControl/>
        <w:numPr>
          <w:ilvl w:val="1"/>
          <w:numId w:val="9"/>
        </w:numPr>
        <w:autoSpaceDE/>
        <w:autoSpaceDN/>
        <w:spacing w:before="120" w:after="120"/>
        <w:rPr>
          <w:rFonts w:ascii="Arial" w:hAnsi="Arial" w:cs="Arial"/>
          <w:sz w:val="24"/>
          <w:szCs w:val="24"/>
        </w:rPr>
      </w:pPr>
      <w:r w:rsidRPr="008F3EB6">
        <w:rPr>
          <w:rFonts w:ascii="Arial" w:hAnsi="Arial" w:cs="Arial"/>
          <w:sz w:val="24"/>
          <w:szCs w:val="24"/>
        </w:rPr>
        <w:t>Identify trends in the National Referral Mechanism (NRM) and pathway referrals to identify emerging themes.</w:t>
      </w:r>
    </w:p>
    <w:p w14:paraId="22DCD3C3" w14:textId="77777777" w:rsidR="008F3EB6" w:rsidRPr="008F3EB6" w:rsidRDefault="008F3EB6" w:rsidP="008F3EB6">
      <w:pPr>
        <w:spacing w:before="120"/>
        <w:ind w:left="360"/>
        <w:rPr>
          <w:rFonts w:cs="Arial"/>
          <w:b/>
          <w:bCs/>
        </w:rPr>
      </w:pPr>
      <w:r w:rsidRPr="008F3EB6">
        <w:rPr>
          <w:rFonts w:cs="Arial"/>
          <w:b/>
          <w:bCs/>
        </w:rPr>
        <w:t>Preventing Extremism</w:t>
      </w:r>
    </w:p>
    <w:p w14:paraId="0CB4A41A" w14:textId="77777777" w:rsidR="008F3EB6" w:rsidRPr="008F3EB6" w:rsidRDefault="008F3EB6" w:rsidP="008F3EB6">
      <w:pPr>
        <w:pStyle w:val="ListParagraph"/>
        <w:widowControl/>
        <w:numPr>
          <w:ilvl w:val="1"/>
          <w:numId w:val="9"/>
        </w:numPr>
        <w:autoSpaceDE/>
        <w:autoSpaceDN/>
        <w:spacing w:before="120" w:after="120"/>
        <w:rPr>
          <w:rFonts w:ascii="Arial" w:hAnsi="Arial" w:cs="Arial"/>
          <w:b/>
          <w:bCs/>
          <w:sz w:val="24"/>
          <w:szCs w:val="24"/>
        </w:rPr>
      </w:pPr>
      <w:r w:rsidRPr="008F3EB6">
        <w:rPr>
          <w:rFonts w:ascii="Arial" w:hAnsi="Arial" w:cs="Arial"/>
          <w:sz w:val="24"/>
          <w:szCs w:val="24"/>
        </w:rPr>
        <w:t>Work with partners to implement the requirements of the Terrorism (Protection of Premises) Act 2025 for publicly accessible locations.</w:t>
      </w:r>
    </w:p>
    <w:p w14:paraId="09083F22" w14:textId="77777777" w:rsidR="008F3EB6" w:rsidRPr="008F3EB6" w:rsidRDefault="008F3EB6" w:rsidP="008F3EB6">
      <w:pPr>
        <w:pStyle w:val="ListParagraph"/>
        <w:widowControl/>
        <w:numPr>
          <w:ilvl w:val="1"/>
          <w:numId w:val="9"/>
        </w:numPr>
        <w:autoSpaceDE/>
        <w:autoSpaceDN/>
        <w:spacing w:before="120" w:after="120"/>
        <w:rPr>
          <w:rFonts w:ascii="Arial" w:hAnsi="Arial" w:cs="Arial"/>
          <w:b/>
          <w:bCs/>
          <w:sz w:val="24"/>
          <w:szCs w:val="24"/>
        </w:rPr>
      </w:pPr>
      <w:r w:rsidRPr="008F3EB6">
        <w:rPr>
          <w:rFonts w:ascii="Arial" w:hAnsi="Arial" w:cs="Arial"/>
          <w:sz w:val="24"/>
          <w:szCs w:val="24"/>
        </w:rPr>
        <w:t>Support the Oxfordshire Prevent Strategy in its actions to deter people from extremist ideology.</w:t>
      </w:r>
    </w:p>
    <w:p w14:paraId="26DFDA5F" w14:textId="77777777" w:rsidR="008F3EB6" w:rsidRDefault="008F3EB6" w:rsidP="008F3EB6">
      <w:pPr>
        <w:pStyle w:val="ColorfulList-Accent11"/>
        <w:numPr>
          <w:ilvl w:val="0"/>
          <w:numId w:val="0"/>
        </w:numPr>
        <w:tabs>
          <w:tab w:val="clear" w:pos="426"/>
        </w:tabs>
        <w:ind w:left="360" w:hanging="360"/>
        <w:rPr>
          <w:bCs/>
          <w:color w:val="221F1F"/>
          <w:spacing w:val="-3"/>
        </w:rPr>
      </w:pPr>
    </w:p>
    <w:p w14:paraId="110F5A21" w14:textId="68E6208B" w:rsidR="00D07622" w:rsidRPr="00ED16B1" w:rsidRDefault="008F3EB6" w:rsidP="00D07622">
      <w:pPr>
        <w:pStyle w:val="ColorfulList-Accent11"/>
        <w:numPr>
          <w:ilvl w:val="0"/>
          <w:numId w:val="0"/>
        </w:numPr>
        <w:tabs>
          <w:tab w:val="clear" w:pos="426"/>
        </w:tabs>
        <w:rPr>
          <w:b/>
          <w:color w:val="221F1F"/>
          <w:spacing w:val="-3"/>
        </w:rPr>
      </w:pPr>
      <w:r>
        <w:rPr>
          <w:b/>
          <w:color w:val="221F1F"/>
          <w:spacing w:val="-3"/>
        </w:rPr>
        <w:t>OSCP A</w:t>
      </w:r>
      <w:r w:rsidR="00D07622">
        <w:rPr>
          <w:b/>
          <w:color w:val="221F1F"/>
          <w:spacing w:val="-3"/>
        </w:rPr>
        <w:t>chievements 2024-25</w:t>
      </w:r>
    </w:p>
    <w:p w14:paraId="1496ECB5" w14:textId="7DBCE7F1" w:rsidR="008F3EB6" w:rsidRDefault="00117127" w:rsidP="00117127">
      <w:pPr>
        <w:pStyle w:val="ColorfulList-Accent11"/>
        <w:numPr>
          <w:ilvl w:val="0"/>
          <w:numId w:val="9"/>
        </w:numPr>
        <w:tabs>
          <w:tab w:val="clear" w:pos="426"/>
        </w:tabs>
        <w:rPr>
          <w:rFonts w:cs="Arial"/>
          <w:color w:val="221F1F"/>
          <w:spacing w:val="-3"/>
        </w:rPr>
      </w:pPr>
      <w:r>
        <w:rPr>
          <w:rFonts w:cs="Arial"/>
          <w:color w:val="221F1F"/>
          <w:spacing w:val="-3"/>
        </w:rPr>
        <w:t xml:space="preserve">This section provides a summary of some of the </w:t>
      </w:r>
      <w:r w:rsidR="008D1B1F">
        <w:rPr>
          <w:rFonts w:cs="Arial"/>
          <w:color w:val="221F1F"/>
          <w:spacing w:val="-3"/>
        </w:rPr>
        <w:t xml:space="preserve">partnership </w:t>
      </w:r>
      <w:r>
        <w:rPr>
          <w:rFonts w:cs="Arial"/>
          <w:color w:val="221F1F"/>
          <w:spacing w:val="-3"/>
        </w:rPr>
        <w:t xml:space="preserve">projects undertaken throughout the year.  </w:t>
      </w:r>
    </w:p>
    <w:p w14:paraId="45EA2247" w14:textId="11BD3EE2" w:rsidR="00117127" w:rsidRDefault="00117127" w:rsidP="00117127">
      <w:pPr>
        <w:pStyle w:val="ColorfulList-Accent11"/>
        <w:numPr>
          <w:ilvl w:val="1"/>
          <w:numId w:val="9"/>
        </w:numPr>
        <w:tabs>
          <w:tab w:val="clear" w:pos="426"/>
        </w:tabs>
        <w:rPr>
          <w:rFonts w:cs="Arial"/>
          <w:color w:val="221F1F"/>
          <w:spacing w:val="-3"/>
        </w:rPr>
      </w:pPr>
      <w:r w:rsidRPr="00117127">
        <w:rPr>
          <w:rFonts w:cs="Arial"/>
          <w:color w:val="221F1F"/>
          <w:spacing w:val="-3"/>
        </w:rPr>
        <w:t>TVP launched Operation Purchase that tackled retail crime. Officers undertook a robust operation to address shoplifting within our neighbourhoods and city centre. Over the 12 months from February 2024 to January 2025, there were 2,534 reported crimes, an increase of 39.9% compared to the same period the previous year. This resulted with an increase in the solved crime rate of 35.6%.</w:t>
      </w:r>
    </w:p>
    <w:p w14:paraId="4BE96F30" w14:textId="4F0DBAD5" w:rsidR="00117127" w:rsidRDefault="00117127" w:rsidP="00117127">
      <w:pPr>
        <w:pStyle w:val="ColorfulList-Accent11"/>
        <w:numPr>
          <w:ilvl w:val="1"/>
          <w:numId w:val="9"/>
        </w:numPr>
        <w:tabs>
          <w:tab w:val="clear" w:pos="426"/>
        </w:tabs>
        <w:rPr>
          <w:rFonts w:cs="Arial"/>
          <w:color w:val="221F1F"/>
          <w:spacing w:val="-3"/>
        </w:rPr>
      </w:pPr>
      <w:r w:rsidRPr="00117127">
        <w:rPr>
          <w:rFonts w:cs="Arial"/>
          <w:color w:val="221F1F"/>
          <w:spacing w:val="-3"/>
        </w:rPr>
        <w:t>In 2024, Oxford City Council’s Anti-Social Behaviour Investigation Team successfully rescued fourteen animals found in a flat. The tenant had been using the flat to keep unsupervised animals including twelve dogs, a chameleon and a rabbit. Neighbours raised concerns due to the smell and welfare of the animals. After obtaining a warrant from court, the Council coordinated the rescue of the animals that involved the police, RSPCA, Housing Officers, and the Council’s dog warden.</w:t>
      </w:r>
    </w:p>
    <w:p w14:paraId="60135896" w14:textId="77777777" w:rsidR="008D1B1F" w:rsidRPr="008D1B1F" w:rsidRDefault="008D1B1F" w:rsidP="008D1B1F">
      <w:pPr>
        <w:pStyle w:val="ColorfulList-Accent11"/>
        <w:numPr>
          <w:ilvl w:val="1"/>
          <w:numId w:val="9"/>
        </w:numPr>
        <w:rPr>
          <w:rFonts w:cs="Arial"/>
          <w:color w:val="221F1F"/>
          <w:spacing w:val="-3"/>
        </w:rPr>
      </w:pPr>
      <w:r w:rsidRPr="008D1B1F">
        <w:rPr>
          <w:rFonts w:cs="Arial"/>
          <w:color w:val="221F1F"/>
          <w:spacing w:val="-3"/>
        </w:rPr>
        <w:lastRenderedPageBreak/>
        <w:t xml:space="preserve">In 2024, Oxford’s Problem-Solving Officer collaborated closely with residents by undertaking environmental visual audits, consulting with residents and implementing projects that improve the community.  </w:t>
      </w:r>
    </w:p>
    <w:p w14:paraId="1C2274D3" w14:textId="63E8334C" w:rsidR="00117127" w:rsidRDefault="008D1B1F" w:rsidP="008D1B1F">
      <w:pPr>
        <w:pStyle w:val="ColorfulList-Accent11"/>
        <w:numPr>
          <w:ilvl w:val="0"/>
          <w:numId w:val="0"/>
        </w:numPr>
        <w:tabs>
          <w:tab w:val="clear" w:pos="426"/>
        </w:tabs>
        <w:ind w:left="792"/>
        <w:rPr>
          <w:rFonts w:cs="Arial"/>
          <w:color w:val="221F1F"/>
          <w:spacing w:val="-3"/>
        </w:rPr>
      </w:pPr>
      <w:r w:rsidRPr="008D1B1F">
        <w:rPr>
          <w:rFonts w:cs="Arial"/>
          <w:color w:val="221F1F"/>
          <w:spacing w:val="-3"/>
        </w:rPr>
        <w:t>Several mobile CCTV cameras were deployed across Oxford to support intelligence gathering for TVP’s Stronghold cases that address</w:t>
      </w:r>
      <w:r>
        <w:rPr>
          <w:rFonts w:cs="Arial"/>
          <w:color w:val="221F1F"/>
          <w:spacing w:val="-3"/>
        </w:rPr>
        <w:t>es</w:t>
      </w:r>
      <w:r w:rsidRPr="008D1B1F">
        <w:rPr>
          <w:rFonts w:cs="Arial"/>
          <w:color w:val="221F1F"/>
          <w:spacing w:val="-3"/>
        </w:rPr>
        <w:t xml:space="preserve"> drug dealing, abuse, and anti-social behaviour. Introduced and trained staff from Oxford City Council on the use of Body Worn Cameras to enhance opportunities for evidence capture and assist in the detection and prevention of crime and ASB.</w:t>
      </w:r>
    </w:p>
    <w:p w14:paraId="4C294885" w14:textId="3B29946C" w:rsidR="008D1B1F" w:rsidRDefault="002F4F62" w:rsidP="008D1B1F">
      <w:pPr>
        <w:pStyle w:val="ColorfulList-Accent11"/>
        <w:numPr>
          <w:ilvl w:val="0"/>
          <w:numId w:val="32"/>
        </w:numPr>
        <w:tabs>
          <w:tab w:val="clear" w:pos="426"/>
        </w:tabs>
        <w:rPr>
          <w:rFonts w:cs="Arial"/>
          <w:color w:val="221F1F"/>
          <w:spacing w:val="-3"/>
        </w:rPr>
      </w:pPr>
      <w:r>
        <w:rPr>
          <w:rFonts w:cs="Arial"/>
          <w:color w:val="221F1F"/>
          <w:spacing w:val="-3"/>
        </w:rPr>
        <w:t>Oxford’s Anti-Slavery Coordinator worked with s</w:t>
      </w:r>
      <w:r w:rsidR="008D1B1F" w:rsidRPr="008D1B1F">
        <w:rPr>
          <w:rFonts w:cs="Arial"/>
          <w:color w:val="221F1F"/>
          <w:spacing w:val="-3"/>
        </w:rPr>
        <w:t xml:space="preserve">everal agencies including Gangmasters Labour Abuse Authority, HMRC, Adult Social Services, Quality Improvement Team and Home Office were involved with a Care provider that </w:t>
      </w:r>
      <w:r w:rsidR="008D1B1F">
        <w:rPr>
          <w:rFonts w:cs="Arial"/>
          <w:color w:val="221F1F"/>
          <w:spacing w:val="-3"/>
        </w:rPr>
        <w:t xml:space="preserve">was </w:t>
      </w:r>
      <w:r w:rsidR="008D1B1F" w:rsidRPr="008D1B1F">
        <w:rPr>
          <w:rFonts w:cs="Arial"/>
          <w:color w:val="221F1F"/>
          <w:spacing w:val="-3"/>
        </w:rPr>
        <w:t xml:space="preserve">identified as exploiting their workers. Thirty-two workers, who worked across Oxfordshire were identified as being exploited and were supported by Victims First Specialist Services or Anti-Slavery Initiative Oxford (ASIO) who OSCP commissioned. As a result, twenty-nine people found other employment.       </w:t>
      </w:r>
    </w:p>
    <w:p w14:paraId="1E6E6497" w14:textId="471686B8" w:rsidR="008D1B1F" w:rsidRDefault="008D1B1F" w:rsidP="008D1B1F">
      <w:pPr>
        <w:pStyle w:val="ColorfulList-Accent11"/>
        <w:numPr>
          <w:ilvl w:val="0"/>
          <w:numId w:val="32"/>
        </w:numPr>
        <w:tabs>
          <w:tab w:val="clear" w:pos="426"/>
        </w:tabs>
        <w:rPr>
          <w:rFonts w:cs="Arial"/>
          <w:color w:val="221F1F"/>
          <w:spacing w:val="-3"/>
        </w:rPr>
      </w:pPr>
      <w:r>
        <w:rPr>
          <w:rFonts w:cs="Arial"/>
          <w:color w:val="221F1F"/>
          <w:spacing w:val="-3"/>
        </w:rPr>
        <w:t>OSCP organised</w:t>
      </w:r>
      <w:r w:rsidRPr="008D1B1F">
        <w:rPr>
          <w:rFonts w:cs="Arial"/>
          <w:color w:val="221F1F"/>
          <w:spacing w:val="-3"/>
        </w:rPr>
        <w:t xml:space="preserve"> a summit dedicated to the issue of serious violence and knife crime, with a particular focus on supporting young people. Several partner agencies attended, along with county and city councillors. The Police and Crime Commissioner, TVP, Oxfordshire Youth Justice Service, and Youth Groups funded by the PCC gave presentations on their work to combat serious violence.</w:t>
      </w:r>
    </w:p>
    <w:p w14:paraId="7841BDD3" w14:textId="77777777" w:rsidR="008D1B1F" w:rsidRDefault="008D1B1F" w:rsidP="008D1B1F">
      <w:pPr>
        <w:pStyle w:val="ColorfulList-Accent11"/>
        <w:numPr>
          <w:ilvl w:val="0"/>
          <w:numId w:val="0"/>
        </w:numPr>
        <w:tabs>
          <w:tab w:val="clear" w:pos="426"/>
        </w:tabs>
        <w:rPr>
          <w:rFonts w:cs="Arial"/>
          <w:color w:val="221F1F"/>
          <w:spacing w:val="-3"/>
        </w:rPr>
      </w:pPr>
    </w:p>
    <w:p w14:paraId="533F4BC5" w14:textId="77777777" w:rsidR="007717F1" w:rsidRDefault="007717F1" w:rsidP="00D65B6C">
      <w:pPr>
        <w:pStyle w:val="ListParagraph"/>
        <w:tabs>
          <w:tab w:val="left" w:pos="463"/>
          <w:tab w:val="left" w:pos="464"/>
        </w:tabs>
        <w:spacing w:before="48" w:line="288" w:lineRule="exact"/>
        <w:ind w:left="403" w:right="907" w:firstLine="0"/>
        <w:rPr>
          <w:rFonts w:ascii="Arial" w:hAnsi="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51"/>
        <w:gridCol w:w="4947"/>
      </w:tblGrid>
      <w:tr w:rsidR="00DF093E" w:rsidRPr="001356F1" w14:paraId="053B072C" w14:textId="77777777" w:rsidTr="004F437B">
        <w:trPr>
          <w:cantSplit/>
          <w:trHeight w:val="396"/>
        </w:trPr>
        <w:tc>
          <w:tcPr>
            <w:tcW w:w="3951" w:type="dxa"/>
            <w:tcBorders>
              <w:top w:val="single" w:sz="8" w:space="0" w:color="000000"/>
              <w:left w:val="single" w:sz="8" w:space="0" w:color="000000"/>
              <w:bottom w:val="single" w:sz="8" w:space="0" w:color="000000"/>
              <w:right w:val="nil"/>
            </w:tcBorders>
            <w:shd w:val="clear" w:color="auto" w:fill="auto"/>
          </w:tcPr>
          <w:p w14:paraId="3E4A987D" w14:textId="77777777" w:rsidR="00E87F7A" w:rsidRPr="001356F1" w:rsidRDefault="009B40DF" w:rsidP="00A46E98">
            <w:pPr>
              <w:rPr>
                <w:b/>
              </w:rPr>
            </w:pPr>
            <w:r>
              <w:rPr>
                <w:rFonts w:cs="Arial"/>
              </w:rPr>
              <w:br w:type="page"/>
            </w:r>
            <w:r w:rsidR="00AE4793">
              <w:t xml:space="preserve"> </w:t>
            </w:r>
            <w:r w:rsidR="00E87F7A" w:rsidRPr="001356F1">
              <w:rPr>
                <w:b/>
              </w:rPr>
              <w:t>Report author</w:t>
            </w:r>
          </w:p>
        </w:tc>
        <w:tc>
          <w:tcPr>
            <w:tcW w:w="4947" w:type="dxa"/>
            <w:tcBorders>
              <w:top w:val="single" w:sz="8" w:space="0" w:color="000000"/>
              <w:left w:val="nil"/>
              <w:bottom w:val="single" w:sz="8" w:space="0" w:color="000000"/>
              <w:right w:val="single" w:sz="8" w:space="0" w:color="000000"/>
            </w:tcBorders>
            <w:shd w:val="clear" w:color="auto" w:fill="auto"/>
          </w:tcPr>
          <w:p w14:paraId="4EC8B7AB" w14:textId="77777777" w:rsidR="00E87F7A" w:rsidRPr="001356F1" w:rsidRDefault="00BC144C" w:rsidP="00A46E98">
            <w:r>
              <w:t>Richard Adams</w:t>
            </w:r>
          </w:p>
        </w:tc>
      </w:tr>
      <w:tr w:rsidR="00DF093E" w:rsidRPr="001356F1" w14:paraId="0FE655AE" w14:textId="77777777" w:rsidTr="004F437B">
        <w:trPr>
          <w:cantSplit/>
          <w:trHeight w:val="396"/>
        </w:trPr>
        <w:tc>
          <w:tcPr>
            <w:tcW w:w="3951" w:type="dxa"/>
            <w:tcBorders>
              <w:top w:val="single" w:sz="8" w:space="0" w:color="000000"/>
              <w:left w:val="single" w:sz="8" w:space="0" w:color="000000"/>
              <w:bottom w:val="nil"/>
              <w:right w:val="nil"/>
            </w:tcBorders>
            <w:shd w:val="clear" w:color="auto" w:fill="auto"/>
          </w:tcPr>
          <w:p w14:paraId="448ED39D" w14:textId="77777777" w:rsidR="00E87F7A" w:rsidRPr="001356F1" w:rsidRDefault="00E87F7A" w:rsidP="00A46E98">
            <w:r w:rsidRPr="001356F1">
              <w:t>Job title</w:t>
            </w:r>
          </w:p>
        </w:tc>
        <w:tc>
          <w:tcPr>
            <w:tcW w:w="4947" w:type="dxa"/>
            <w:tcBorders>
              <w:top w:val="single" w:sz="8" w:space="0" w:color="000000"/>
              <w:left w:val="nil"/>
              <w:bottom w:val="nil"/>
              <w:right w:val="single" w:sz="8" w:space="0" w:color="000000"/>
            </w:tcBorders>
            <w:shd w:val="clear" w:color="auto" w:fill="auto"/>
          </w:tcPr>
          <w:p w14:paraId="36590374" w14:textId="77777777" w:rsidR="00E87F7A" w:rsidRPr="001356F1" w:rsidRDefault="00BC144C" w:rsidP="00A46E98">
            <w:r>
              <w:t>Community Safety Service Manager</w:t>
            </w:r>
          </w:p>
        </w:tc>
      </w:tr>
      <w:tr w:rsidR="00DF093E" w:rsidRPr="001356F1" w14:paraId="361D39CE" w14:textId="77777777" w:rsidTr="004F437B">
        <w:trPr>
          <w:cantSplit/>
          <w:trHeight w:val="396"/>
        </w:trPr>
        <w:tc>
          <w:tcPr>
            <w:tcW w:w="3951" w:type="dxa"/>
            <w:tcBorders>
              <w:top w:val="nil"/>
              <w:left w:val="single" w:sz="8" w:space="0" w:color="000000"/>
              <w:bottom w:val="nil"/>
              <w:right w:val="nil"/>
            </w:tcBorders>
            <w:shd w:val="clear" w:color="auto" w:fill="auto"/>
          </w:tcPr>
          <w:p w14:paraId="1271B434" w14:textId="77777777" w:rsidR="00E87F7A" w:rsidRPr="001356F1" w:rsidRDefault="00E87F7A" w:rsidP="00A46E98">
            <w:r w:rsidRPr="001356F1">
              <w:t>Service area or department</w:t>
            </w:r>
          </w:p>
        </w:tc>
        <w:tc>
          <w:tcPr>
            <w:tcW w:w="4947" w:type="dxa"/>
            <w:tcBorders>
              <w:top w:val="nil"/>
              <w:left w:val="nil"/>
              <w:bottom w:val="nil"/>
              <w:right w:val="single" w:sz="8" w:space="0" w:color="000000"/>
            </w:tcBorders>
            <w:shd w:val="clear" w:color="auto" w:fill="auto"/>
          </w:tcPr>
          <w:p w14:paraId="2F1AE703" w14:textId="77777777" w:rsidR="00E87F7A" w:rsidRPr="001356F1" w:rsidRDefault="00BC144C" w:rsidP="00A46E98">
            <w:r>
              <w:t>Community Service</w:t>
            </w:r>
          </w:p>
        </w:tc>
      </w:tr>
      <w:tr w:rsidR="00DF093E" w:rsidRPr="001356F1" w14:paraId="4C0F1851" w14:textId="77777777" w:rsidTr="004F437B">
        <w:trPr>
          <w:cantSplit/>
          <w:trHeight w:val="396"/>
        </w:trPr>
        <w:tc>
          <w:tcPr>
            <w:tcW w:w="3951" w:type="dxa"/>
            <w:tcBorders>
              <w:top w:val="nil"/>
              <w:left w:val="single" w:sz="8" w:space="0" w:color="000000"/>
              <w:bottom w:val="nil"/>
              <w:right w:val="nil"/>
            </w:tcBorders>
            <w:shd w:val="clear" w:color="auto" w:fill="auto"/>
          </w:tcPr>
          <w:p w14:paraId="1A3F53E7" w14:textId="77777777" w:rsidR="00E87F7A" w:rsidRPr="001356F1" w:rsidRDefault="00E87F7A" w:rsidP="00A46E98">
            <w:r w:rsidRPr="001356F1">
              <w:t xml:space="preserve">Telephone </w:t>
            </w:r>
          </w:p>
        </w:tc>
        <w:tc>
          <w:tcPr>
            <w:tcW w:w="4947" w:type="dxa"/>
            <w:tcBorders>
              <w:top w:val="nil"/>
              <w:left w:val="nil"/>
              <w:bottom w:val="nil"/>
              <w:right w:val="single" w:sz="8" w:space="0" w:color="000000"/>
            </w:tcBorders>
            <w:shd w:val="clear" w:color="auto" w:fill="auto"/>
          </w:tcPr>
          <w:p w14:paraId="0A828403" w14:textId="77777777" w:rsidR="00E87F7A" w:rsidRPr="001356F1" w:rsidRDefault="00E87F7A" w:rsidP="00BC144C">
            <w:r w:rsidRPr="001356F1">
              <w:t xml:space="preserve">01865 </w:t>
            </w:r>
            <w:r w:rsidR="00BC144C">
              <w:t>252283</w:t>
            </w:r>
          </w:p>
        </w:tc>
      </w:tr>
      <w:tr w:rsidR="005570B5" w:rsidRPr="001356F1" w14:paraId="6DCBA26C" w14:textId="77777777" w:rsidTr="004F437B">
        <w:trPr>
          <w:cantSplit/>
          <w:trHeight w:val="396"/>
        </w:trPr>
        <w:tc>
          <w:tcPr>
            <w:tcW w:w="3951" w:type="dxa"/>
            <w:tcBorders>
              <w:top w:val="nil"/>
              <w:left w:val="single" w:sz="8" w:space="0" w:color="000000"/>
              <w:bottom w:val="single" w:sz="8" w:space="0" w:color="000000"/>
              <w:right w:val="nil"/>
            </w:tcBorders>
            <w:shd w:val="clear" w:color="auto" w:fill="auto"/>
          </w:tcPr>
          <w:p w14:paraId="7A24C239" w14:textId="77777777" w:rsidR="00E87F7A" w:rsidRPr="001356F1" w:rsidRDefault="00E87F7A" w:rsidP="00A46E98">
            <w:r w:rsidRPr="001356F1">
              <w:t xml:space="preserve">e-mail </w:t>
            </w:r>
          </w:p>
        </w:tc>
        <w:tc>
          <w:tcPr>
            <w:tcW w:w="4947" w:type="dxa"/>
            <w:tcBorders>
              <w:top w:val="nil"/>
              <w:left w:val="nil"/>
              <w:bottom w:val="single" w:sz="8" w:space="0" w:color="000000"/>
              <w:right w:val="single" w:sz="8" w:space="0" w:color="000000"/>
            </w:tcBorders>
            <w:shd w:val="clear" w:color="auto" w:fill="auto"/>
          </w:tcPr>
          <w:p w14:paraId="6F3C0D00" w14:textId="77777777" w:rsidR="00E87F7A" w:rsidRPr="001356F1" w:rsidRDefault="00BC144C" w:rsidP="00A46E98">
            <w:pPr>
              <w:rPr>
                <w:rStyle w:val="Hyperlink"/>
                <w:color w:val="000000"/>
              </w:rPr>
            </w:pPr>
            <w:r>
              <w:rPr>
                <w:rStyle w:val="Hyperlink"/>
                <w:color w:val="000000"/>
              </w:rPr>
              <w:t>r</w:t>
            </w:r>
            <w:r w:rsidR="00A200B9">
              <w:rPr>
                <w:rStyle w:val="Hyperlink"/>
                <w:color w:val="000000"/>
              </w:rPr>
              <w:t>j</w:t>
            </w:r>
            <w:r>
              <w:rPr>
                <w:rStyle w:val="Hyperlink"/>
                <w:color w:val="000000"/>
              </w:rPr>
              <w:t>adams@oxford.gov.uk</w:t>
            </w:r>
          </w:p>
        </w:tc>
      </w:tr>
    </w:tbl>
    <w:p w14:paraId="3822F8F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DF093E" w:rsidRPr="001356F1" w14:paraId="3D5E85BD" w14:textId="77777777" w:rsidTr="00A46E98">
        <w:tc>
          <w:tcPr>
            <w:tcW w:w="8931" w:type="dxa"/>
            <w:tcBorders>
              <w:top w:val="single" w:sz="4" w:space="0" w:color="auto"/>
              <w:left w:val="single" w:sz="4" w:space="0" w:color="auto"/>
              <w:bottom w:val="single" w:sz="8" w:space="0" w:color="000000"/>
              <w:right w:val="single" w:sz="4" w:space="0" w:color="auto"/>
            </w:tcBorders>
            <w:shd w:val="clear" w:color="auto" w:fill="auto"/>
          </w:tcPr>
          <w:p w14:paraId="30B57BE3" w14:textId="77777777" w:rsidR="0093067A" w:rsidRPr="001356F1" w:rsidRDefault="00182B81" w:rsidP="00F41AC1">
            <w:r w:rsidRPr="001356F1">
              <w:rPr>
                <w:rStyle w:val="Firstpagetablebold"/>
              </w:rPr>
              <w:t xml:space="preserve">Background Papers: </w:t>
            </w:r>
            <w:r w:rsidRPr="001356F1">
              <w:rPr>
                <w:rStyle w:val="Firstpagetablebold"/>
                <w:b w:val="0"/>
              </w:rPr>
              <w:t>None</w:t>
            </w:r>
          </w:p>
        </w:tc>
      </w:tr>
    </w:tbl>
    <w:p w14:paraId="6E3D6811" w14:textId="77777777" w:rsidR="00821AAF" w:rsidRPr="009E51FC" w:rsidRDefault="00821AAF" w:rsidP="00F70148"/>
    <w:sectPr w:rsidR="00821AAF" w:rsidRPr="009E51FC" w:rsidSect="004D710B">
      <w:footerReference w:type="even" r:id="rId13"/>
      <w:headerReference w:type="first" r:id="rId14"/>
      <w:footerReference w:type="first" r:id="rId15"/>
      <w:pgSz w:w="11906" w:h="16838" w:code="9"/>
      <w:pgMar w:top="1440" w:right="1440" w:bottom="1440" w:left="1440"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6542" w14:textId="77777777" w:rsidR="0079103E" w:rsidRDefault="0079103E" w:rsidP="004A6D2F">
      <w:r>
        <w:separator/>
      </w:r>
    </w:p>
  </w:endnote>
  <w:endnote w:type="continuationSeparator" w:id="0">
    <w:p w14:paraId="4332C8F9" w14:textId="77777777" w:rsidR="0079103E" w:rsidRDefault="0079103E"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9619" w14:textId="77777777" w:rsidR="00546942" w:rsidRDefault="00546942" w:rsidP="004A6D2F">
    <w:pPr>
      <w:pStyle w:val="Footer"/>
    </w:pPr>
    <w:r>
      <w:t>Do not use a footer or page numbers.</w:t>
    </w:r>
  </w:p>
  <w:p w14:paraId="2DEB24C9" w14:textId="77777777" w:rsidR="00546942" w:rsidRDefault="00546942" w:rsidP="004A6D2F">
    <w:pPr>
      <w:pStyle w:val="Footer"/>
    </w:pPr>
  </w:p>
  <w:p w14:paraId="30EEF57B" w14:textId="77777777" w:rsidR="00546942" w:rsidRDefault="00546942"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D72E" w14:textId="77777777" w:rsidR="00546942" w:rsidRDefault="00546942" w:rsidP="004A6D2F">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4E29" w14:textId="77777777" w:rsidR="0079103E" w:rsidRDefault="0079103E" w:rsidP="004A6D2F">
      <w:r>
        <w:separator/>
      </w:r>
    </w:p>
  </w:footnote>
  <w:footnote w:type="continuationSeparator" w:id="0">
    <w:p w14:paraId="48AB151C" w14:textId="77777777" w:rsidR="0079103E" w:rsidRDefault="0079103E"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03B9" w14:textId="77777777" w:rsidR="00546942" w:rsidRDefault="001837FE" w:rsidP="00D5547E">
    <w:pPr>
      <w:pStyle w:val="Header"/>
      <w:jc w:val="right"/>
    </w:pPr>
    <w:r>
      <w:rPr>
        <w:noProof/>
      </w:rPr>
      <w:drawing>
        <wp:inline distT="0" distB="0" distL="0" distR="0" wp14:anchorId="3FAFC956" wp14:editId="55CBBA10">
          <wp:extent cx="838200" cy="1117600"/>
          <wp:effectExtent l="0" t="0" r="0"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30E6C"/>
    <w:multiLevelType w:val="hybridMultilevel"/>
    <w:tmpl w:val="03B20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F0360"/>
    <w:multiLevelType w:val="hybridMultilevel"/>
    <w:tmpl w:val="693A44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CA4A98"/>
    <w:multiLevelType w:val="multilevel"/>
    <w:tmpl w:val="4FCE09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86146B"/>
    <w:multiLevelType w:val="multilevel"/>
    <w:tmpl w:val="593225F6"/>
    <w:lvl w:ilvl="0">
      <w:start w:val="1"/>
      <w:numFmt w:val="decimal"/>
      <w:lvlText w:val="%1."/>
      <w:lvlJc w:val="left"/>
      <w:pPr>
        <w:ind w:left="360" w:hanging="360"/>
      </w:pPr>
      <w:rPr>
        <w:rFonts w:hint="default"/>
        <w:b w:val="0"/>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3607D7"/>
    <w:multiLevelType w:val="hybridMultilevel"/>
    <w:tmpl w:val="8A7A01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15B256A"/>
    <w:multiLevelType w:val="multilevel"/>
    <w:tmpl w:val="02AE418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1FE113D"/>
    <w:multiLevelType w:val="multilevel"/>
    <w:tmpl w:val="4906BD9C"/>
    <w:lvl w:ilvl="0">
      <w:start w:val="1"/>
      <w:numFmt w:val="decimal"/>
      <w:lvlText w:val="%1."/>
      <w:lvlJc w:val="left"/>
      <w:pPr>
        <w:ind w:left="360" w:hanging="360"/>
      </w:pPr>
      <w:rPr>
        <w:rFonts w:hint="default"/>
        <w:b w:val="0"/>
        <w:bCs/>
      </w:rPr>
    </w:lvl>
    <w:lvl w:ilvl="1">
      <w:start w:val="1"/>
      <w:numFmt w:val="bullet"/>
      <w:lvlText w:val=""/>
      <w:lvlJc w:val="left"/>
      <w:pPr>
        <w:ind w:left="792" w:hanging="432"/>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B950CE"/>
    <w:multiLevelType w:val="multilevel"/>
    <w:tmpl w:val="37147E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E614A"/>
    <w:multiLevelType w:val="hybridMultilevel"/>
    <w:tmpl w:val="21041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1A009A"/>
    <w:multiLevelType w:val="hybridMultilevel"/>
    <w:tmpl w:val="8942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75162"/>
    <w:multiLevelType w:val="multilevel"/>
    <w:tmpl w:val="E0E421E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92388C"/>
    <w:multiLevelType w:val="hybridMultilevel"/>
    <w:tmpl w:val="8DB2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C438FA"/>
    <w:multiLevelType w:val="hybridMultilevel"/>
    <w:tmpl w:val="0248E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8365C6"/>
    <w:multiLevelType w:val="multilevel"/>
    <w:tmpl w:val="443C09CE"/>
    <w:lvl w:ilvl="0">
      <w:start w:val="3"/>
      <w:numFmt w:val="decimal"/>
      <w:pStyle w:val="ColorfulList-Accent11"/>
      <w:lvlText w:val="%1."/>
      <w:lvlJc w:val="left"/>
      <w:pPr>
        <w:ind w:left="360" w:hanging="360"/>
      </w:pPr>
      <w:rPr>
        <w:rFonts w:ascii="Arial" w:hAnsi="Arial" w:hint="default"/>
        <w:color w:val="00000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357050910">
    <w:abstractNumId w:val="0"/>
  </w:num>
  <w:num w:numId="2" w16cid:durableId="1705599721">
    <w:abstractNumId w:val="17"/>
  </w:num>
  <w:num w:numId="3" w16cid:durableId="1535382708">
    <w:abstractNumId w:val="5"/>
  </w:num>
  <w:num w:numId="4" w16cid:durableId="116222557">
    <w:abstractNumId w:val="1"/>
  </w:num>
  <w:num w:numId="5" w16cid:durableId="1106583505">
    <w:abstractNumId w:val="15"/>
  </w:num>
  <w:num w:numId="6" w16cid:durableId="490827835">
    <w:abstractNumId w:val="8"/>
  </w:num>
  <w:num w:numId="7" w16cid:durableId="2063089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259571">
    <w:abstractNumId w:val="17"/>
  </w:num>
  <w:num w:numId="9" w16cid:durableId="558830916">
    <w:abstractNumId w:val="6"/>
  </w:num>
  <w:num w:numId="10" w16cid:durableId="1198154388">
    <w:abstractNumId w:val="13"/>
  </w:num>
  <w:num w:numId="11" w16cid:durableId="283393154">
    <w:abstractNumId w:val="17"/>
  </w:num>
  <w:num w:numId="12" w16cid:durableId="1179856091">
    <w:abstractNumId w:val="17"/>
  </w:num>
  <w:num w:numId="13" w16cid:durableId="1591738988">
    <w:abstractNumId w:val="17"/>
  </w:num>
  <w:num w:numId="14" w16cid:durableId="2119593344">
    <w:abstractNumId w:val="17"/>
  </w:num>
  <w:num w:numId="15" w16cid:durableId="141117410">
    <w:abstractNumId w:val="2"/>
  </w:num>
  <w:num w:numId="16" w16cid:durableId="1537738275">
    <w:abstractNumId w:val="17"/>
  </w:num>
  <w:num w:numId="17" w16cid:durableId="522402856">
    <w:abstractNumId w:val="17"/>
  </w:num>
  <w:num w:numId="18" w16cid:durableId="1952395803">
    <w:abstractNumId w:val="17"/>
  </w:num>
  <w:num w:numId="19" w16cid:durableId="442189894">
    <w:abstractNumId w:val="17"/>
  </w:num>
  <w:num w:numId="20" w16cid:durableId="1437672247">
    <w:abstractNumId w:val="17"/>
  </w:num>
  <w:num w:numId="21" w16cid:durableId="316499207">
    <w:abstractNumId w:val="17"/>
  </w:num>
  <w:num w:numId="22" w16cid:durableId="754785561">
    <w:abstractNumId w:val="10"/>
  </w:num>
  <w:num w:numId="23" w16cid:durableId="1052652589">
    <w:abstractNumId w:val="4"/>
  </w:num>
  <w:num w:numId="24" w16cid:durableId="2103255410">
    <w:abstractNumId w:val="17"/>
  </w:num>
  <w:num w:numId="25" w16cid:durableId="1137601305">
    <w:abstractNumId w:val="17"/>
  </w:num>
  <w:num w:numId="26" w16cid:durableId="837230527">
    <w:abstractNumId w:val="17"/>
  </w:num>
  <w:num w:numId="27" w16cid:durableId="1839226502">
    <w:abstractNumId w:val="3"/>
  </w:num>
  <w:num w:numId="28" w16cid:durableId="1180464528">
    <w:abstractNumId w:val="14"/>
  </w:num>
  <w:num w:numId="29" w16cid:durableId="2067951053">
    <w:abstractNumId w:val="9"/>
  </w:num>
  <w:num w:numId="30" w16cid:durableId="1295671358">
    <w:abstractNumId w:val="16"/>
  </w:num>
  <w:num w:numId="31" w16cid:durableId="1493527146">
    <w:abstractNumId w:val="11"/>
  </w:num>
  <w:num w:numId="32" w16cid:durableId="171442576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2C4B"/>
    <w:rsid w:val="000117D4"/>
    <w:rsid w:val="000143A0"/>
    <w:rsid w:val="00024F33"/>
    <w:rsid w:val="000315B2"/>
    <w:rsid w:val="00045F8B"/>
    <w:rsid w:val="00046D2B"/>
    <w:rsid w:val="00056263"/>
    <w:rsid w:val="000568B3"/>
    <w:rsid w:val="000611D6"/>
    <w:rsid w:val="00064D8A"/>
    <w:rsid w:val="00064F82"/>
    <w:rsid w:val="00066510"/>
    <w:rsid w:val="00077523"/>
    <w:rsid w:val="0009076D"/>
    <w:rsid w:val="00096EED"/>
    <w:rsid w:val="000C089F"/>
    <w:rsid w:val="000C3928"/>
    <w:rsid w:val="000C5E8E"/>
    <w:rsid w:val="000E2012"/>
    <w:rsid w:val="000F4751"/>
    <w:rsid w:val="000F5C38"/>
    <w:rsid w:val="0010524C"/>
    <w:rsid w:val="001109FB"/>
    <w:rsid w:val="00111CA9"/>
    <w:rsid w:val="00111FB1"/>
    <w:rsid w:val="00113418"/>
    <w:rsid w:val="001165DA"/>
    <w:rsid w:val="00117127"/>
    <w:rsid w:val="001356F1"/>
    <w:rsid w:val="001368D3"/>
    <w:rsid w:val="00136994"/>
    <w:rsid w:val="0014128E"/>
    <w:rsid w:val="00151888"/>
    <w:rsid w:val="00170A2D"/>
    <w:rsid w:val="001808BC"/>
    <w:rsid w:val="00182B81"/>
    <w:rsid w:val="001837FE"/>
    <w:rsid w:val="0018619D"/>
    <w:rsid w:val="0019443E"/>
    <w:rsid w:val="00197028"/>
    <w:rsid w:val="001A011E"/>
    <w:rsid w:val="001A066A"/>
    <w:rsid w:val="001A13E6"/>
    <w:rsid w:val="001A5731"/>
    <w:rsid w:val="001B0915"/>
    <w:rsid w:val="001B42C3"/>
    <w:rsid w:val="001C3984"/>
    <w:rsid w:val="001C5D5E"/>
    <w:rsid w:val="001D678D"/>
    <w:rsid w:val="001E03F8"/>
    <w:rsid w:val="001E2997"/>
    <w:rsid w:val="001E3376"/>
    <w:rsid w:val="001E6BA9"/>
    <w:rsid w:val="001E7D4C"/>
    <w:rsid w:val="002069B3"/>
    <w:rsid w:val="00213C7D"/>
    <w:rsid w:val="002329CF"/>
    <w:rsid w:val="00232F5B"/>
    <w:rsid w:val="00244823"/>
    <w:rsid w:val="002472EE"/>
    <w:rsid w:val="00247C29"/>
    <w:rsid w:val="00260467"/>
    <w:rsid w:val="00263EA3"/>
    <w:rsid w:val="00284F85"/>
    <w:rsid w:val="00286DEC"/>
    <w:rsid w:val="00287679"/>
    <w:rsid w:val="00290915"/>
    <w:rsid w:val="002A22E2"/>
    <w:rsid w:val="002C398C"/>
    <w:rsid w:val="002C4DC3"/>
    <w:rsid w:val="002C64F7"/>
    <w:rsid w:val="002E058C"/>
    <w:rsid w:val="002E5014"/>
    <w:rsid w:val="002F04D3"/>
    <w:rsid w:val="002F348C"/>
    <w:rsid w:val="002F41F2"/>
    <w:rsid w:val="002F4F62"/>
    <w:rsid w:val="00301BF3"/>
    <w:rsid w:val="0030208D"/>
    <w:rsid w:val="00312A14"/>
    <w:rsid w:val="0031470F"/>
    <w:rsid w:val="00316DAF"/>
    <w:rsid w:val="00323418"/>
    <w:rsid w:val="003357BF"/>
    <w:rsid w:val="003579A9"/>
    <w:rsid w:val="00364FAD"/>
    <w:rsid w:val="0036738F"/>
    <w:rsid w:val="0036759C"/>
    <w:rsid w:val="00367AE5"/>
    <w:rsid w:val="00367D71"/>
    <w:rsid w:val="0038150A"/>
    <w:rsid w:val="00393487"/>
    <w:rsid w:val="003935C1"/>
    <w:rsid w:val="003A087D"/>
    <w:rsid w:val="003A2FFE"/>
    <w:rsid w:val="003A4B16"/>
    <w:rsid w:val="003B256F"/>
    <w:rsid w:val="003B6E75"/>
    <w:rsid w:val="003B7FA6"/>
    <w:rsid w:val="003C3E6C"/>
    <w:rsid w:val="003C679B"/>
    <w:rsid w:val="003D0379"/>
    <w:rsid w:val="003D19D4"/>
    <w:rsid w:val="003D2574"/>
    <w:rsid w:val="003D477B"/>
    <w:rsid w:val="003D47B2"/>
    <w:rsid w:val="003D4C59"/>
    <w:rsid w:val="003D6352"/>
    <w:rsid w:val="003E35AC"/>
    <w:rsid w:val="003F4267"/>
    <w:rsid w:val="00404032"/>
    <w:rsid w:val="0040736F"/>
    <w:rsid w:val="00412C1F"/>
    <w:rsid w:val="00421CB2"/>
    <w:rsid w:val="004268B9"/>
    <w:rsid w:val="004328B5"/>
    <w:rsid w:val="004332EE"/>
    <w:rsid w:val="00433B96"/>
    <w:rsid w:val="004346A1"/>
    <w:rsid w:val="004440F1"/>
    <w:rsid w:val="00444C3F"/>
    <w:rsid w:val="004456DD"/>
    <w:rsid w:val="00446CDF"/>
    <w:rsid w:val="004521B7"/>
    <w:rsid w:val="00462AB5"/>
    <w:rsid w:val="004646B3"/>
    <w:rsid w:val="00465EAF"/>
    <w:rsid w:val="004738C5"/>
    <w:rsid w:val="00491046"/>
    <w:rsid w:val="00493B6B"/>
    <w:rsid w:val="004944A3"/>
    <w:rsid w:val="00496FAD"/>
    <w:rsid w:val="004A2AC7"/>
    <w:rsid w:val="004A5337"/>
    <w:rsid w:val="004A6D2F"/>
    <w:rsid w:val="004B348B"/>
    <w:rsid w:val="004B5331"/>
    <w:rsid w:val="004C1C31"/>
    <w:rsid w:val="004C2887"/>
    <w:rsid w:val="004D2626"/>
    <w:rsid w:val="004D6284"/>
    <w:rsid w:val="004D6E26"/>
    <w:rsid w:val="004D710B"/>
    <w:rsid w:val="004D77D3"/>
    <w:rsid w:val="004E2959"/>
    <w:rsid w:val="004F20EF"/>
    <w:rsid w:val="004F437B"/>
    <w:rsid w:val="0050321C"/>
    <w:rsid w:val="00522E2C"/>
    <w:rsid w:val="00524648"/>
    <w:rsid w:val="00530F2D"/>
    <w:rsid w:val="00546942"/>
    <w:rsid w:val="0054712D"/>
    <w:rsid w:val="00547EF6"/>
    <w:rsid w:val="00550998"/>
    <w:rsid w:val="005570B5"/>
    <w:rsid w:val="00557753"/>
    <w:rsid w:val="00563FDF"/>
    <w:rsid w:val="00567E18"/>
    <w:rsid w:val="00575F5F"/>
    <w:rsid w:val="00581805"/>
    <w:rsid w:val="00585F76"/>
    <w:rsid w:val="005A2220"/>
    <w:rsid w:val="005A34E4"/>
    <w:rsid w:val="005B17F2"/>
    <w:rsid w:val="005B7287"/>
    <w:rsid w:val="005B7FB0"/>
    <w:rsid w:val="005C119F"/>
    <w:rsid w:val="005C35A5"/>
    <w:rsid w:val="005C577C"/>
    <w:rsid w:val="005D0621"/>
    <w:rsid w:val="005D1E27"/>
    <w:rsid w:val="005E022E"/>
    <w:rsid w:val="005E361F"/>
    <w:rsid w:val="005E5215"/>
    <w:rsid w:val="005F7F7E"/>
    <w:rsid w:val="00614693"/>
    <w:rsid w:val="00623C2F"/>
    <w:rsid w:val="00627CA5"/>
    <w:rsid w:val="00632A88"/>
    <w:rsid w:val="00633578"/>
    <w:rsid w:val="00637068"/>
    <w:rsid w:val="00642543"/>
    <w:rsid w:val="00650299"/>
    <w:rsid w:val="00650811"/>
    <w:rsid w:val="00661D3E"/>
    <w:rsid w:val="0066325F"/>
    <w:rsid w:val="00692627"/>
    <w:rsid w:val="00695C14"/>
    <w:rsid w:val="006969E7"/>
    <w:rsid w:val="006A3643"/>
    <w:rsid w:val="006C2A29"/>
    <w:rsid w:val="006C64CF"/>
    <w:rsid w:val="006D17B1"/>
    <w:rsid w:val="006D6619"/>
    <w:rsid w:val="006D708A"/>
    <w:rsid w:val="006E14C1"/>
    <w:rsid w:val="006F0292"/>
    <w:rsid w:val="006F1881"/>
    <w:rsid w:val="006F416B"/>
    <w:rsid w:val="006F519B"/>
    <w:rsid w:val="0070273D"/>
    <w:rsid w:val="00702EDA"/>
    <w:rsid w:val="00713675"/>
    <w:rsid w:val="00715823"/>
    <w:rsid w:val="00737B93"/>
    <w:rsid w:val="00745BF0"/>
    <w:rsid w:val="00747260"/>
    <w:rsid w:val="00751DB6"/>
    <w:rsid w:val="007615FE"/>
    <w:rsid w:val="0076655C"/>
    <w:rsid w:val="007717F1"/>
    <w:rsid w:val="007742DC"/>
    <w:rsid w:val="0079103E"/>
    <w:rsid w:val="00791437"/>
    <w:rsid w:val="007A6E3C"/>
    <w:rsid w:val="007B0C2C"/>
    <w:rsid w:val="007B278E"/>
    <w:rsid w:val="007B339C"/>
    <w:rsid w:val="007B386E"/>
    <w:rsid w:val="007C1201"/>
    <w:rsid w:val="007C5588"/>
    <w:rsid w:val="007C5C23"/>
    <w:rsid w:val="007E2A26"/>
    <w:rsid w:val="007E2EBB"/>
    <w:rsid w:val="007F2348"/>
    <w:rsid w:val="007F2E43"/>
    <w:rsid w:val="00803F07"/>
    <w:rsid w:val="0080749A"/>
    <w:rsid w:val="00821AAF"/>
    <w:rsid w:val="00821FB8"/>
    <w:rsid w:val="00822ACD"/>
    <w:rsid w:val="008416F0"/>
    <w:rsid w:val="00852C00"/>
    <w:rsid w:val="0085529E"/>
    <w:rsid w:val="00855C66"/>
    <w:rsid w:val="00871EE4"/>
    <w:rsid w:val="0087787F"/>
    <w:rsid w:val="008858F9"/>
    <w:rsid w:val="008B0A0B"/>
    <w:rsid w:val="008B293F"/>
    <w:rsid w:val="008B7371"/>
    <w:rsid w:val="008D1B1F"/>
    <w:rsid w:val="008D3DDB"/>
    <w:rsid w:val="008D4BE8"/>
    <w:rsid w:val="008F3EB6"/>
    <w:rsid w:val="008F573F"/>
    <w:rsid w:val="009034EC"/>
    <w:rsid w:val="00905DC7"/>
    <w:rsid w:val="009127CF"/>
    <w:rsid w:val="009138DD"/>
    <w:rsid w:val="00924676"/>
    <w:rsid w:val="009304B1"/>
    <w:rsid w:val="0093067A"/>
    <w:rsid w:val="00935A4B"/>
    <w:rsid w:val="009360C8"/>
    <w:rsid w:val="00941C60"/>
    <w:rsid w:val="0095402C"/>
    <w:rsid w:val="00966D42"/>
    <w:rsid w:val="00971689"/>
    <w:rsid w:val="00973E90"/>
    <w:rsid w:val="00975B07"/>
    <w:rsid w:val="00980B4A"/>
    <w:rsid w:val="00984550"/>
    <w:rsid w:val="00994D7D"/>
    <w:rsid w:val="009A2B5D"/>
    <w:rsid w:val="009A2C46"/>
    <w:rsid w:val="009A4FF7"/>
    <w:rsid w:val="009B1C9C"/>
    <w:rsid w:val="009B40DF"/>
    <w:rsid w:val="009E3D0A"/>
    <w:rsid w:val="009E51FC"/>
    <w:rsid w:val="009F1D28"/>
    <w:rsid w:val="009F6648"/>
    <w:rsid w:val="009F7618"/>
    <w:rsid w:val="00A04D23"/>
    <w:rsid w:val="00A06766"/>
    <w:rsid w:val="00A13765"/>
    <w:rsid w:val="00A200B9"/>
    <w:rsid w:val="00A21172"/>
    <w:rsid w:val="00A21B12"/>
    <w:rsid w:val="00A23F80"/>
    <w:rsid w:val="00A44635"/>
    <w:rsid w:val="00A46E98"/>
    <w:rsid w:val="00A517EE"/>
    <w:rsid w:val="00A6352B"/>
    <w:rsid w:val="00A701B5"/>
    <w:rsid w:val="00A714BB"/>
    <w:rsid w:val="00A912C7"/>
    <w:rsid w:val="00A92D8F"/>
    <w:rsid w:val="00A940CF"/>
    <w:rsid w:val="00A970CB"/>
    <w:rsid w:val="00AB2988"/>
    <w:rsid w:val="00AB7999"/>
    <w:rsid w:val="00AC6F4C"/>
    <w:rsid w:val="00AD3292"/>
    <w:rsid w:val="00AE4793"/>
    <w:rsid w:val="00AE5E27"/>
    <w:rsid w:val="00AE7826"/>
    <w:rsid w:val="00AE7AF0"/>
    <w:rsid w:val="00AF08D4"/>
    <w:rsid w:val="00B14DAC"/>
    <w:rsid w:val="00B20FF6"/>
    <w:rsid w:val="00B304C9"/>
    <w:rsid w:val="00B31C34"/>
    <w:rsid w:val="00B43D01"/>
    <w:rsid w:val="00B44AFE"/>
    <w:rsid w:val="00B500CA"/>
    <w:rsid w:val="00B51E7D"/>
    <w:rsid w:val="00B54CFF"/>
    <w:rsid w:val="00B558E1"/>
    <w:rsid w:val="00B55BBE"/>
    <w:rsid w:val="00B7799F"/>
    <w:rsid w:val="00B80699"/>
    <w:rsid w:val="00B828C4"/>
    <w:rsid w:val="00B86314"/>
    <w:rsid w:val="00BA1C2E"/>
    <w:rsid w:val="00BB3B7E"/>
    <w:rsid w:val="00BB6AEC"/>
    <w:rsid w:val="00BC144C"/>
    <w:rsid w:val="00BC200B"/>
    <w:rsid w:val="00BC2645"/>
    <w:rsid w:val="00BC3202"/>
    <w:rsid w:val="00BC4756"/>
    <w:rsid w:val="00BC69A4"/>
    <w:rsid w:val="00BE0680"/>
    <w:rsid w:val="00BE305F"/>
    <w:rsid w:val="00BE7BA3"/>
    <w:rsid w:val="00BF5682"/>
    <w:rsid w:val="00BF7B09"/>
    <w:rsid w:val="00C20361"/>
    <w:rsid w:val="00C20A95"/>
    <w:rsid w:val="00C23F9E"/>
    <w:rsid w:val="00C2692F"/>
    <w:rsid w:val="00C3207C"/>
    <w:rsid w:val="00C349E4"/>
    <w:rsid w:val="00C400E1"/>
    <w:rsid w:val="00C41187"/>
    <w:rsid w:val="00C44D18"/>
    <w:rsid w:val="00C50494"/>
    <w:rsid w:val="00C63C31"/>
    <w:rsid w:val="00C757A0"/>
    <w:rsid w:val="00C760DE"/>
    <w:rsid w:val="00C82630"/>
    <w:rsid w:val="00C837E7"/>
    <w:rsid w:val="00C85B4E"/>
    <w:rsid w:val="00C907F7"/>
    <w:rsid w:val="00CA2103"/>
    <w:rsid w:val="00CB5BC0"/>
    <w:rsid w:val="00CB647A"/>
    <w:rsid w:val="00CB6B99"/>
    <w:rsid w:val="00CC5157"/>
    <w:rsid w:val="00CD1511"/>
    <w:rsid w:val="00CD7656"/>
    <w:rsid w:val="00CE4C87"/>
    <w:rsid w:val="00CE544A"/>
    <w:rsid w:val="00CE5832"/>
    <w:rsid w:val="00D07622"/>
    <w:rsid w:val="00D11E1C"/>
    <w:rsid w:val="00D160B0"/>
    <w:rsid w:val="00D17F94"/>
    <w:rsid w:val="00D223FC"/>
    <w:rsid w:val="00D23C10"/>
    <w:rsid w:val="00D252C0"/>
    <w:rsid w:val="00D26D1E"/>
    <w:rsid w:val="00D474CF"/>
    <w:rsid w:val="00D47648"/>
    <w:rsid w:val="00D5547E"/>
    <w:rsid w:val="00D65B6C"/>
    <w:rsid w:val="00D6683E"/>
    <w:rsid w:val="00DA25BE"/>
    <w:rsid w:val="00DA413F"/>
    <w:rsid w:val="00DA4584"/>
    <w:rsid w:val="00DA614B"/>
    <w:rsid w:val="00DA7B94"/>
    <w:rsid w:val="00DC3060"/>
    <w:rsid w:val="00DC5D6F"/>
    <w:rsid w:val="00DE0FB2"/>
    <w:rsid w:val="00DF0620"/>
    <w:rsid w:val="00DF093E"/>
    <w:rsid w:val="00E01F42"/>
    <w:rsid w:val="00E0724D"/>
    <w:rsid w:val="00E1534C"/>
    <w:rsid w:val="00E206D6"/>
    <w:rsid w:val="00E32416"/>
    <w:rsid w:val="00E3366E"/>
    <w:rsid w:val="00E34014"/>
    <w:rsid w:val="00E351A0"/>
    <w:rsid w:val="00E42CD9"/>
    <w:rsid w:val="00E52086"/>
    <w:rsid w:val="00E5346E"/>
    <w:rsid w:val="00E543A6"/>
    <w:rsid w:val="00E60479"/>
    <w:rsid w:val="00E61D73"/>
    <w:rsid w:val="00E73684"/>
    <w:rsid w:val="00E818D6"/>
    <w:rsid w:val="00E87F7A"/>
    <w:rsid w:val="00E96BD7"/>
    <w:rsid w:val="00EA0DB1"/>
    <w:rsid w:val="00EA0EE9"/>
    <w:rsid w:val="00EB13FB"/>
    <w:rsid w:val="00EB5CB5"/>
    <w:rsid w:val="00EC0F2D"/>
    <w:rsid w:val="00ED16B1"/>
    <w:rsid w:val="00ED52CA"/>
    <w:rsid w:val="00ED5860"/>
    <w:rsid w:val="00EE35C9"/>
    <w:rsid w:val="00F05ECA"/>
    <w:rsid w:val="00F20014"/>
    <w:rsid w:val="00F22491"/>
    <w:rsid w:val="00F3566E"/>
    <w:rsid w:val="00F375FB"/>
    <w:rsid w:val="00F41AC1"/>
    <w:rsid w:val="00F4367A"/>
    <w:rsid w:val="00F445B1"/>
    <w:rsid w:val="00F45CD4"/>
    <w:rsid w:val="00F6382D"/>
    <w:rsid w:val="00F66DCA"/>
    <w:rsid w:val="00F70148"/>
    <w:rsid w:val="00F74116"/>
    <w:rsid w:val="00F74F53"/>
    <w:rsid w:val="00F7606D"/>
    <w:rsid w:val="00F81670"/>
    <w:rsid w:val="00F82024"/>
    <w:rsid w:val="00F8217B"/>
    <w:rsid w:val="00F83746"/>
    <w:rsid w:val="00F95BC9"/>
    <w:rsid w:val="00FA0125"/>
    <w:rsid w:val="00FA624C"/>
    <w:rsid w:val="00FD0FAC"/>
    <w:rsid w:val="00FD1DFA"/>
    <w:rsid w:val="00FD4966"/>
    <w:rsid w:val="00FD7C06"/>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0562E10"/>
  <w15:chartTrackingRefBased/>
  <w15:docId w15:val="{29B2C302-0797-4177-AF5B-F7746099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uiPriority="11"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8416F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rsid w:val="00E96BD7"/>
    <w:pPr>
      <w:spacing w:after="120"/>
    </w:pPr>
    <w:rPr>
      <w:color w:val="000000"/>
      <w:sz w:val="24"/>
      <w:szCs w:val="24"/>
      <w:lang w:eastAsia="en-US"/>
    </w:rPr>
  </w:style>
  <w:style w:type="paragraph" w:customStyle="1" w:styleId="ColorfulList-Accent11">
    <w:name w:val="Colorful List - Accent 11"/>
    <w:basedOn w:val="Normal"/>
    <w:link w:val="ColorfulList-Accent1Char"/>
    <w:uiPriority w:val="34"/>
    <w:rsid w:val="005570B5"/>
    <w:pPr>
      <w:numPr>
        <w:numId w:val="2"/>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DarkList-Accent2">
    <w:name w:val="Dark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lorfulShading-Accent11">
    <w:name w:val="Colorful Shading - Accent 11"/>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3"/>
      </w:numPr>
      <w:tabs>
        <w:tab w:val="left" w:pos="993"/>
      </w:tabs>
      <w:ind w:left="993" w:hanging="425"/>
    </w:pPr>
  </w:style>
  <w:style w:type="paragraph" w:customStyle="1" w:styleId="ColorfulGrid-Accent11">
    <w:name w:val="Colorful Grid - Accent 11"/>
    <w:basedOn w:val="Normal"/>
    <w:next w:val="Normal"/>
    <w:link w:val="ColorfulGrid-Accent1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ColorfulGrid-Accent1Char">
    <w:name w:val="Colorful Grid - Accent 1 Char"/>
    <w:link w:val="ColorfulGrid-Accent11"/>
    <w:uiPriority w:val="29"/>
    <w:rsid w:val="004A6D2F"/>
    <w:rPr>
      <w:rFonts w:ascii="Arial" w:hAnsi="Arial"/>
      <w:i/>
      <w:iCs/>
      <w:color w:val="000000"/>
      <w:sz w:val="24"/>
      <w:szCs w:val="24"/>
      <w:lang w:eastAsia="en-US"/>
    </w:rPr>
  </w:style>
  <w:style w:type="paragraph" w:styleId="ListParagraph">
    <w:name w:val="List Paragraph"/>
    <w:basedOn w:val="Normal"/>
    <w:uiPriority w:val="34"/>
    <w:qFormat/>
    <w:rsid w:val="003935C1"/>
    <w:pPr>
      <w:widowControl w:val="0"/>
      <w:autoSpaceDE w:val="0"/>
      <w:autoSpaceDN w:val="0"/>
      <w:spacing w:before="54" w:after="0"/>
      <w:ind w:left="763" w:hanging="360"/>
    </w:pPr>
    <w:rPr>
      <w:rFonts w:ascii="Calibri" w:eastAsia="Calibri" w:hAnsi="Calibri" w:cs="Calibri"/>
      <w:color w:val="auto"/>
      <w:sz w:val="22"/>
      <w:szCs w:val="22"/>
      <w:lang w:bidi="en-GB"/>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ColorfulList-Accent11"/>
    <w:link w:val="bParagraphtextChar"/>
    <w:qFormat/>
    <w:rsid w:val="004268B9"/>
  </w:style>
  <w:style w:type="paragraph" w:styleId="Caption">
    <w:name w:val="caption"/>
    <w:basedOn w:val="Normal"/>
    <w:next w:val="Normal"/>
    <w:qFormat/>
    <w:rsid w:val="0093067A"/>
    <w:pPr>
      <w:spacing w:before="120"/>
      <w:jc w:val="center"/>
    </w:pPr>
    <w:rPr>
      <w:b/>
      <w:bCs/>
      <w:sz w:val="20"/>
      <w:szCs w:val="20"/>
    </w:rPr>
  </w:style>
  <w:style w:type="character" w:customStyle="1" w:styleId="ColorfulList-Accent1Char">
    <w:name w:val="Colorful List - Accent 1 Char"/>
    <w:link w:val="ColorfulList-Accent11"/>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character" w:customStyle="1" w:styleId="Heading3Char">
    <w:name w:val="Heading 3 Char"/>
    <w:link w:val="Heading3"/>
    <w:semiHidden/>
    <w:rsid w:val="008416F0"/>
    <w:rPr>
      <w:rFonts w:ascii="Calibri Light" w:eastAsia="Times New Roman" w:hAnsi="Calibri Light" w:cs="Times New Roman"/>
      <w:b/>
      <w:bCs/>
      <w:color w:val="000000"/>
      <w:sz w:val="26"/>
      <w:szCs w:val="26"/>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paragraph" w:styleId="Revision">
    <w:name w:val="Revision"/>
    <w:hidden/>
    <w:uiPriority w:val="99"/>
    <w:semiHidden/>
    <w:rsid w:val="001837FE"/>
    <w:rPr>
      <w:color w:val="000000"/>
      <w:sz w:val="24"/>
      <w:szCs w:val="24"/>
    </w:rPr>
  </w:style>
  <w:style w:type="character" w:styleId="UnresolvedMention">
    <w:name w:val="Unresolved Mention"/>
    <w:basedOn w:val="DefaultParagraphFont"/>
    <w:uiPriority w:val="99"/>
    <w:semiHidden/>
    <w:unhideWhenUsed/>
    <w:rsid w:val="00D07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5366">
      <w:bodyDiv w:val="1"/>
      <w:marLeft w:val="0"/>
      <w:marRight w:val="0"/>
      <w:marTop w:val="0"/>
      <w:marBottom w:val="0"/>
      <w:divBdr>
        <w:top w:val="none" w:sz="0" w:space="0" w:color="auto"/>
        <w:left w:val="none" w:sz="0" w:space="0" w:color="auto"/>
        <w:bottom w:val="none" w:sz="0" w:space="0" w:color="auto"/>
        <w:right w:val="none" w:sz="0" w:space="0" w:color="auto"/>
      </w:divBdr>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2689498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094596316">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006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amesvalley-pcc.gov.uk/police-and-crime-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oxfordshire.gov.uk/jsn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6087AB40E7945B304BFEAFE03A7DD" ma:contentTypeVersion="13" ma:contentTypeDescription="Create a new document." ma:contentTypeScope="" ma:versionID="72f2ee9ef37a27a6f185db54cfe530e5">
  <xsd:schema xmlns:xsd="http://www.w3.org/2001/XMLSchema" xmlns:xs="http://www.w3.org/2001/XMLSchema" xmlns:p="http://schemas.microsoft.com/office/2006/metadata/properties" xmlns:ns2="8c775d39-4778-460d-9d75-682adf9ac711" xmlns:ns3="fdeaa98c-3c10-467a-a9c8-b2f3006f2a29" targetNamespace="http://schemas.microsoft.com/office/2006/metadata/properties" ma:root="true" ma:fieldsID="7dc45ad8f3db02cb33f9e6bb4a2b940f" ns2:_="" ns3:_="">
    <xsd:import namespace="8c775d39-4778-460d-9d75-682adf9ac711"/>
    <xsd:import namespace="fdeaa98c-3c10-467a-a9c8-b2f3006f2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75d39-4778-460d-9d75-682adf9a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aa98c-3c10-467a-a9c8-b2f3006f2a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cfb2a0-c95c-4dee-9709-2ca9e1ca1ef8}" ma:internalName="TaxCatchAll" ma:showField="CatchAllData" ma:web="fdeaa98c-3c10-467a-a9c8-b2f3006f2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eaa98c-3c10-467a-a9c8-b2f3006f2a29" xsi:nil="true"/>
    <lcf76f155ced4ddcb4097134ff3c332f xmlns="8c775d39-4778-460d-9d75-682adf9ac7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81BA76-C232-4B52-90A8-9F823225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75d39-4778-460d-9d75-682adf9ac711"/>
    <ds:schemaRef ds:uri="fdeaa98c-3c10-467a-a9c8-b2f3006f2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4A0F8-00F7-4547-9756-CC3513B07C0E}">
  <ds:schemaRefs>
    <ds:schemaRef ds:uri="http://schemas.openxmlformats.org/officeDocument/2006/bibliography"/>
  </ds:schemaRefs>
</ds:datastoreItem>
</file>

<file path=customXml/itemProps3.xml><?xml version="1.0" encoding="utf-8"?>
<ds:datastoreItem xmlns:ds="http://schemas.openxmlformats.org/officeDocument/2006/customXml" ds:itemID="{C1278E4D-9D6F-4F4E-A472-958BE24B0687}">
  <ds:schemaRefs>
    <ds:schemaRef ds:uri="http://schemas.microsoft.com/sharepoint/v3/contenttype/forms"/>
  </ds:schemaRefs>
</ds:datastoreItem>
</file>

<file path=customXml/itemProps4.xml><?xml version="1.0" encoding="utf-8"?>
<ds:datastoreItem xmlns:ds="http://schemas.openxmlformats.org/officeDocument/2006/customXml" ds:itemID="{F7A35825-438E-4C3A-A3A7-C8134ECB594C}">
  <ds:schemaRefs>
    <ds:schemaRef ds:uri="fdeaa98c-3c10-467a-a9c8-b2f3006f2a29"/>
    <ds:schemaRef ds:uri="http://schemas.microsoft.com/office/2006/documentManagement/types"/>
    <ds:schemaRef ds:uri="http://schemas.microsoft.com/office/2006/metadata/properties"/>
    <ds:schemaRef ds:uri="http://schemas.openxmlformats.org/package/2006/metadata/core-properties"/>
    <ds:schemaRef ds:uri="8c775d39-4778-460d-9d75-682adf9ac711"/>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MALTON Jonathan</cp:lastModifiedBy>
  <cp:revision>3</cp:revision>
  <cp:lastPrinted>2019-07-05T14:56:00Z</cp:lastPrinted>
  <dcterms:created xsi:type="dcterms:W3CDTF">2025-09-23T13:55:00Z</dcterms:created>
  <dcterms:modified xsi:type="dcterms:W3CDTF">2025-09-23T13:56:00Z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0x0101002FF6087AB40E7945B304BFEAFE03A7DD</vt:lpwstr>
  </property>
  <property fmtid="{D5CDD505-2E9C-101B-9397-08002B2CF9AE}" pid="3" name="MediaServiceImageTags">
    <vt:lpwstr/>
  </property>
</Properties>
</file>